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C77590">
      <w:pPr>
        <w:widowControl/>
        <w:jc w:val="center"/>
        <w:rPr>
          <w:rFonts w:hint="eastAsia" w:ascii="华文仿宋" w:hAnsi="华文仿宋" w:eastAsia="华文仿宋" w:cs="华文仿宋"/>
          <w:b/>
          <w:kern w:val="44"/>
          <w:sz w:val="44"/>
        </w:rPr>
      </w:pPr>
      <w:r>
        <w:rPr>
          <w:rFonts w:hint="eastAsia" w:ascii="华文仿宋" w:hAnsi="华文仿宋" w:eastAsia="华文仿宋" w:cs="华文仿宋"/>
          <w:b/>
          <w:kern w:val="44"/>
          <w:sz w:val="44"/>
        </w:rPr>
        <w:t>政府投资项目资金</w:t>
      </w:r>
    </w:p>
    <w:p w14:paraId="77F5F345">
      <w:pPr>
        <w:widowControl/>
        <w:jc w:val="center"/>
        <w:rPr>
          <w:rFonts w:hint="eastAsia" w:ascii="华文仿宋" w:hAnsi="华文仿宋" w:eastAsia="华文仿宋" w:cs="华文仿宋"/>
          <w:b/>
          <w:kern w:val="44"/>
          <w:sz w:val="44"/>
        </w:rPr>
      </w:pPr>
      <w:r>
        <w:rPr>
          <w:rFonts w:hint="eastAsia" w:ascii="华文仿宋" w:hAnsi="华文仿宋" w:eastAsia="华文仿宋" w:cs="华文仿宋"/>
          <w:b/>
          <w:kern w:val="44"/>
          <w:sz w:val="44"/>
        </w:rPr>
        <w:t>穿透式监管协议</w:t>
      </w:r>
    </w:p>
    <w:p w14:paraId="318295BA">
      <w:pPr>
        <w:widowControl/>
        <w:ind w:firstLine="2880" w:firstLineChars="900"/>
        <w:rPr>
          <w:rFonts w:ascii="彩虹粗仿宋" w:eastAsia="彩虹粗仿宋"/>
        </w:rPr>
      </w:pPr>
      <w:r>
        <w:rPr>
          <w:rFonts w:hint="eastAsia" w:ascii="华文仿宋" w:hAnsi="华文仿宋" w:eastAsia="华文仿宋" w:cs="华文仿宋"/>
        </w:rPr>
        <w:t>编号：</w:t>
      </w:r>
      <w:r>
        <w:rPr>
          <w:rFonts w:hint="eastAsia" w:ascii="彩虹粗仿宋" w:eastAsia="彩虹粗仿宋"/>
        </w:rPr>
        <w:t xml:space="preserve"> </w:t>
      </w:r>
    </w:p>
    <w:p w14:paraId="79B6DD8E">
      <w:pPr>
        <w:widowControl/>
        <w:jc w:val="center"/>
        <w:rPr>
          <w:rFonts w:ascii="彩虹粗仿宋" w:eastAsia="彩虹粗仿宋"/>
        </w:rPr>
      </w:pPr>
    </w:p>
    <w:p w14:paraId="775E7A62">
      <w:pPr>
        <w:widowControl/>
        <w:jc w:val="center"/>
        <w:rPr>
          <w:rFonts w:ascii="彩虹粗仿宋" w:eastAsia="彩虹粗仿宋"/>
        </w:rPr>
      </w:pPr>
    </w:p>
    <w:p w14:paraId="7E89EDB8">
      <w:pPr>
        <w:widowControl/>
        <w:jc w:val="center"/>
        <w:rPr>
          <w:rFonts w:ascii="彩虹粗仿宋" w:eastAsia="彩虹粗仿宋"/>
        </w:rPr>
      </w:pPr>
    </w:p>
    <w:p w14:paraId="0C71B03F">
      <w:pPr>
        <w:widowControl/>
        <w:jc w:val="center"/>
        <w:rPr>
          <w:rFonts w:ascii="彩虹粗仿宋" w:eastAsia="彩虹粗仿宋"/>
        </w:rPr>
      </w:pPr>
    </w:p>
    <w:p w14:paraId="008312DE">
      <w:pPr>
        <w:widowControl/>
        <w:jc w:val="center"/>
        <w:rPr>
          <w:rFonts w:ascii="彩虹粗仿宋" w:eastAsia="彩虹粗仿宋"/>
        </w:rPr>
      </w:pPr>
    </w:p>
    <w:p w14:paraId="3F77880B">
      <w:pPr>
        <w:widowControl/>
        <w:rPr>
          <w:rFonts w:ascii="彩虹粗仿宋" w:eastAsia="彩虹粗仿宋"/>
        </w:rPr>
      </w:pPr>
    </w:p>
    <w:p w14:paraId="67AAED14">
      <w:pPr>
        <w:widowControl/>
        <w:ind w:firstLine="640" w:firstLineChars="200"/>
        <w:jc w:val="left"/>
        <w:rPr>
          <w:rFonts w:hint="eastAsia" w:ascii="华文仿宋" w:hAnsi="华文仿宋" w:eastAsia="华文仿宋" w:cs="华文仿宋"/>
        </w:rPr>
      </w:pPr>
      <w:r>
        <w:rPr>
          <w:rFonts w:hint="eastAsia" w:ascii="华文仿宋" w:hAnsi="华文仿宋" w:eastAsia="华文仿宋" w:cs="华文仿宋"/>
        </w:rPr>
        <w:t>甲 方：东莞市城市工程建设集团有限公司</w:t>
      </w:r>
    </w:p>
    <w:p w14:paraId="235610D4">
      <w:pPr>
        <w:widowControl/>
        <w:ind w:firstLine="640" w:firstLineChars="200"/>
        <w:jc w:val="left"/>
        <w:rPr>
          <w:rFonts w:hint="eastAsia" w:ascii="华文仿宋" w:hAnsi="华文仿宋" w:eastAsia="华文仿宋" w:cs="华文仿宋"/>
        </w:rPr>
      </w:pPr>
      <w:r>
        <w:rPr>
          <w:rFonts w:hint="eastAsia" w:ascii="华文仿宋" w:hAnsi="华文仿宋" w:eastAsia="华文仿宋" w:cs="华文仿宋"/>
          <w:highlight w:val="yellow"/>
        </w:rPr>
        <w:t>乙 方</w:t>
      </w:r>
      <w:r>
        <w:rPr>
          <w:rFonts w:hint="eastAsia" w:ascii="华文仿宋" w:hAnsi="华文仿宋" w:eastAsia="华文仿宋" w:cs="华文仿宋"/>
        </w:rPr>
        <w:t>：</w:t>
      </w:r>
    </w:p>
    <w:p w14:paraId="37D05275">
      <w:pPr>
        <w:widowControl/>
        <w:ind w:firstLine="640" w:firstLineChars="200"/>
        <w:jc w:val="left"/>
        <w:rPr>
          <w:rFonts w:hint="eastAsia" w:ascii="华文仿宋" w:hAnsi="华文仿宋" w:eastAsia="华文仿宋" w:cs="华文仿宋"/>
        </w:rPr>
      </w:pPr>
      <w:r>
        <w:rPr>
          <w:rFonts w:hint="eastAsia" w:ascii="华文仿宋" w:hAnsi="华文仿宋" w:eastAsia="华文仿宋" w:cs="华文仿宋"/>
        </w:rPr>
        <w:t>丙 方（监管银行）：</w:t>
      </w:r>
      <w:r>
        <w:rPr>
          <w:rFonts w:hint="eastAsia" w:ascii="彩虹粗仿宋" w:eastAsia="彩虹粗仿宋"/>
        </w:rPr>
        <w:t xml:space="preserve"> </w:t>
      </w:r>
      <w:r>
        <w:rPr>
          <w:rFonts w:hint="eastAsia" w:ascii="华文仿宋" w:hAnsi="华文仿宋" w:eastAsia="华文仿宋" w:cs="华文仿宋"/>
        </w:rPr>
        <w:t>招商银行股份有限公司东莞分行</w:t>
      </w:r>
    </w:p>
    <w:p w14:paraId="4DF82A3F">
      <w:pPr>
        <w:widowControl/>
        <w:ind w:left="2131" w:leftChars="666"/>
        <w:jc w:val="left"/>
        <w:rPr>
          <w:rFonts w:hint="eastAsia" w:ascii="华文仿宋" w:hAnsi="华文仿宋" w:eastAsia="华文仿宋" w:cs="华文仿宋"/>
        </w:rPr>
      </w:pPr>
    </w:p>
    <w:p w14:paraId="44798143">
      <w:pPr>
        <w:widowControl/>
        <w:ind w:left="2131" w:leftChars="666"/>
        <w:jc w:val="left"/>
        <w:rPr>
          <w:rFonts w:ascii="彩虹粗仿宋" w:eastAsia="彩虹粗仿宋"/>
        </w:rPr>
      </w:pPr>
    </w:p>
    <w:p w14:paraId="0460C108">
      <w:pPr>
        <w:widowControl/>
        <w:ind w:left="2131" w:leftChars="666"/>
        <w:jc w:val="left"/>
        <w:rPr>
          <w:rFonts w:ascii="彩虹粗仿宋" w:eastAsia="彩虹粗仿宋"/>
        </w:rPr>
      </w:pPr>
    </w:p>
    <w:p w14:paraId="5F305C35">
      <w:pPr>
        <w:rPr>
          <w:rFonts w:hint="eastAsia" w:ascii="CESI仿宋-GB2312" w:hAnsi="CESI仿宋-GB2312" w:eastAsia="CESI仿宋-GB2312" w:cs="CESI仿宋-GB2312"/>
        </w:rPr>
      </w:pPr>
    </w:p>
    <w:p w14:paraId="5D4E5117">
      <w:pPr>
        <w:rPr>
          <w:rFonts w:hint="eastAsia" w:ascii="CESI仿宋-GB2312" w:hAnsi="CESI仿宋-GB2312" w:eastAsia="CESI仿宋-GB2312" w:cs="CESI仿宋-GB2312"/>
        </w:rPr>
      </w:pPr>
    </w:p>
    <w:p w14:paraId="2089D884">
      <w:pPr>
        <w:rPr>
          <w:rFonts w:hint="eastAsia" w:ascii="CESI仿宋-GB2312" w:hAnsi="CESI仿宋-GB2312" w:eastAsia="CESI仿宋-GB2312" w:cs="CESI仿宋-GB2312"/>
        </w:rPr>
      </w:pPr>
    </w:p>
    <w:p w14:paraId="63440EC7">
      <w:pPr>
        <w:rPr>
          <w:rFonts w:hint="eastAsia" w:ascii="CESI仿宋-GB2312" w:hAnsi="CESI仿宋-GB2312" w:eastAsia="CESI仿宋-GB2312" w:cs="CESI仿宋-GB2312"/>
        </w:rPr>
      </w:pPr>
    </w:p>
    <w:p w14:paraId="44F7C56E">
      <w:pPr>
        <w:snapToGrid w:val="0"/>
        <w:spacing w:line="360" w:lineRule="auto"/>
        <w:rPr>
          <w:rFonts w:hint="eastAsia" w:ascii="CESI仿宋-GB2312" w:hAnsi="CESI仿宋-GB2312" w:eastAsia="CESI仿宋-GB2312" w:cs="CESI仿宋-GB2312"/>
        </w:rPr>
      </w:pPr>
      <w:r>
        <w:rPr>
          <w:rFonts w:hint="eastAsia" w:ascii="CESI仿宋-GB2312" w:hAnsi="CESI仿宋-GB2312" w:eastAsia="CESI仿宋-GB2312" w:cs="CESI仿宋-GB2312"/>
        </w:rPr>
        <w:t>甲      方：东莞市城市工程建设集团有限公司</w:t>
      </w:r>
    </w:p>
    <w:p w14:paraId="705DDE55">
      <w:pPr>
        <w:snapToGrid w:val="0"/>
        <w:spacing w:line="360" w:lineRule="auto"/>
        <w:rPr>
          <w:rFonts w:hint="eastAsia" w:ascii="CESI仿宋-GB2312" w:hAnsi="CESI仿宋-GB2312" w:eastAsia="CESI仿宋-GB2312" w:cs="CESI仿宋-GB2312"/>
        </w:rPr>
      </w:pPr>
      <w:r>
        <w:rPr>
          <w:rFonts w:hint="eastAsia" w:ascii="CESI仿宋-GB2312" w:hAnsi="CESI仿宋-GB2312" w:eastAsia="CESI仿宋-GB2312" w:cs="CESI仿宋-GB2312"/>
        </w:rPr>
        <w:t xml:space="preserve">法定代表人：阳凤萍 </w:t>
      </w:r>
    </w:p>
    <w:p w14:paraId="5C2746C2">
      <w:pPr>
        <w:snapToGrid w:val="0"/>
        <w:spacing w:line="360" w:lineRule="auto"/>
        <w:rPr>
          <w:rFonts w:hint="eastAsia" w:ascii="CESI仿宋-GB2312" w:hAnsi="CESI仿宋-GB2312" w:eastAsia="CESI仿宋-GB2312" w:cs="CESI仿宋-GB2312"/>
        </w:rPr>
      </w:pPr>
      <w:r>
        <w:rPr>
          <w:rFonts w:hint="eastAsia" w:ascii="CESI仿宋-GB2312" w:hAnsi="CESI仿宋-GB2312" w:eastAsia="CESI仿宋-GB2312" w:cs="CESI仿宋-GB2312"/>
        </w:rPr>
        <w:t>授权代理人：</w:t>
      </w:r>
    </w:p>
    <w:p w14:paraId="69D25F42">
      <w:pPr>
        <w:snapToGrid w:val="0"/>
        <w:spacing w:line="360" w:lineRule="auto"/>
        <w:rPr>
          <w:rFonts w:hint="eastAsia" w:ascii="CESI仿宋-GB2312" w:hAnsi="CESI仿宋-GB2312" w:eastAsia="CESI仿宋-GB2312" w:cs="CESI仿宋-GB2312"/>
        </w:rPr>
      </w:pPr>
      <w:r>
        <w:rPr>
          <w:rFonts w:hint="eastAsia" w:ascii="CESI仿宋-GB2312" w:hAnsi="CESI仿宋-GB2312" w:eastAsia="CESI仿宋-GB2312" w:cs="CESI仿宋-GB2312"/>
        </w:rPr>
        <w:t xml:space="preserve">地  址：东莞市莞城区汇峰路1号汇峰中心C区8层01单元 </w:t>
      </w:r>
    </w:p>
    <w:p w14:paraId="469D5E90">
      <w:pPr>
        <w:snapToGrid w:val="0"/>
        <w:spacing w:line="360" w:lineRule="auto"/>
        <w:rPr>
          <w:rFonts w:hint="eastAsia" w:ascii="CESI仿宋-GB2312" w:hAnsi="CESI仿宋-GB2312" w:eastAsia="CESI仿宋-GB2312" w:cs="CESI仿宋-GB2312"/>
        </w:rPr>
      </w:pPr>
      <w:r>
        <w:rPr>
          <w:rFonts w:hint="eastAsia" w:ascii="CESI仿宋-GB2312" w:hAnsi="CESI仿宋-GB2312" w:eastAsia="CESI仿宋-GB2312" w:cs="CESI仿宋-GB2312"/>
        </w:rPr>
        <w:t xml:space="preserve">电      话：0769-39009900 </w:t>
      </w:r>
    </w:p>
    <w:p w14:paraId="1E419042">
      <w:pPr>
        <w:snapToGrid w:val="0"/>
        <w:spacing w:line="360" w:lineRule="auto"/>
        <w:rPr>
          <w:rFonts w:hint="eastAsia" w:ascii="CESI仿宋-GB2312" w:hAnsi="CESI仿宋-GB2312" w:eastAsia="CESI仿宋-GB2312" w:cs="CESI仿宋-GB2312"/>
        </w:rPr>
      </w:pPr>
      <w:r>
        <w:rPr>
          <w:rFonts w:hint="eastAsia" w:ascii="CESI仿宋-GB2312" w:hAnsi="CESI仿宋-GB2312" w:eastAsia="CESI仿宋-GB2312" w:cs="CESI仿宋-GB2312"/>
        </w:rPr>
        <w:t>电 子邮 箱：</w:t>
      </w:r>
      <w:r>
        <w:fldChar w:fldCharType="begin"/>
      </w:r>
      <w:r>
        <w:instrText xml:space="preserve"> HYPERLINK "mailto:ds_c&amp;it@126.com" </w:instrText>
      </w:r>
      <w:r>
        <w:fldChar w:fldCharType="separate"/>
      </w:r>
      <w:r>
        <w:rPr>
          <w:rStyle w:val="12"/>
          <w:rFonts w:hint="eastAsia" w:ascii="CESI仿宋-GB2312" w:hAnsi="CESI仿宋-GB2312" w:eastAsia="CESI仿宋-GB2312" w:cs="CESI仿宋-GB2312"/>
        </w:rPr>
        <w:fldChar w:fldCharType="end"/>
      </w:r>
    </w:p>
    <w:p w14:paraId="5447F490">
      <w:pPr>
        <w:snapToGrid w:val="0"/>
        <w:spacing w:line="360" w:lineRule="auto"/>
        <w:rPr>
          <w:rFonts w:hint="eastAsia" w:ascii="CESI仿宋-GB2312" w:hAnsi="CESI仿宋-GB2312" w:eastAsia="CESI仿宋-GB2312" w:cs="CESI仿宋-GB2312"/>
        </w:rPr>
      </w:pPr>
    </w:p>
    <w:p w14:paraId="677E282E">
      <w:pPr>
        <w:snapToGrid w:val="0"/>
        <w:spacing w:line="360" w:lineRule="auto"/>
        <w:rPr>
          <w:rFonts w:hint="eastAsia" w:ascii="CESI仿宋-GB2312" w:hAnsi="CESI仿宋-GB2312" w:eastAsia="CESI仿宋-GB2312" w:cs="CESI仿宋-GB2312"/>
          <w:highlight w:val="yellow"/>
        </w:rPr>
      </w:pPr>
      <w:r>
        <w:rPr>
          <w:rFonts w:hint="eastAsia" w:ascii="CESI仿宋-GB2312" w:hAnsi="CESI仿宋-GB2312" w:eastAsia="CESI仿宋-GB2312" w:cs="CESI仿宋-GB2312"/>
          <w:highlight w:val="yellow"/>
        </w:rPr>
        <w:t>乙      方：</w:t>
      </w:r>
      <w:r>
        <w:rPr>
          <w:rFonts w:hint="eastAsia" w:ascii="CESI仿宋-GB2312" w:hAnsi="CESI仿宋-GB2312" w:eastAsia="CESI仿宋-GB2312" w:cs="CESI仿宋-GB2312"/>
        </w:rPr>
        <w:t xml:space="preserve"> </w:t>
      </w:r>
    </w:p>
    <w:p w14:paraId="6DD84DD1">
      <w:pPr>
        <w:snapToGrid w:val="0"/>
        <w:spacing w:line="360" w:lineRule="auto"/>
        <w:rPr>
          <w:rFonts w:hint="eastAsia" w:ascii="CESI仿宋-GB2312" w:hAnsi="CESI仿宋-GB2312" w:eastAsia="CESI仿宋-GB2312" w:cs="CESI仿宋-GB2312"/>
        </w:rPr>
      </w:pPr>
      <w:r>
        <w:rPr>
          <w:rFonts w:hint="eastAsia" w:ascii="CESI仿宋-GB2312" w:hAnsi="CESI仿宋-GB2312" w:eastAsia="CESI仿宋-GB2312" w:cs="CESI仿宋-GB2312"/>
        </w:rPr>
        <w:t xml:space="preserve">法定代表人： </w:t>
      </w:r>
    </w:p>
    <w:p w14:paraId="1E2E345A">
      <w:pPr>
        <w:snapToGrid w:val="0"/>
        <w:spacing w:line="360" w:lineRule="auto"/>
        <w:rPr>
          <w:rFonts w:hint="eastAsia" w:ascii="CESI仿宋-GB2312" w:hAnsi="CESI仿宋-GB2312" w:eastAsia="CESI仿宋-GB2312" w:cs="CESI仿宋-GB2312"/>
        </w:rPr>
      </w:pPr>
      <w:r>
        <w:rPr>
          <w:rFonts w:hint="eastAsia" w:ascii="CESI仿宋-GB2312" w:hAnsi="CESI仿宋-GB2312" w:eastAsia="CESI仿宋-GB2312" w:cs="CESI仿宋-GB2312"/>
        </w:rPr>
        <w:t xml:space="preserve">授权代理人： </w:t>
      </w:r>
    </w:p>
    <w:p w14:paraId="1A53D34C">
      <w:pPr>
        <w:snapToGrid w:val="0"/>
        <w:spacing w:line="360" w:lineRule="auto"/>
        <w:rPr>
          <w:rFonts w:hint="eastAsia" w:ascii="CESI仿宋-GB2312" w:hAnsi="CESI仿宋-GB2312" w:eastAsia="CESI仿宋-GB2312" w:cs="CESI仿宋-GB2312"/>
        </w:rPr>
      </w:pPr>
      <w:r>
        <w:rPr>
          <w:rFonts w:hint="eastAsia" w:ascii="CESI仿宋-GB2312" w:hAnsi="CESI仿宋-GB2312" w:eastAsia="CESI仿宋-GB2312" w:cs="CESI仿宋-GB2312"/>
        </w:rPr>
        <w:t xml:space="preserve">地址： </w:t>
      </w:r>
    </w:p>
    <w:p w14:paraId="74A907E4">
      <w:pPr>
        <w:snapToGrid w:val="0"/>
        <w:spacing w:line="360" w:lineRule="auto"/>
        <w:rPr>
          <w:rFonts w:hint="eastAsia" w:ascii="CESI仿宋-GB2312" w:hAnsi="CESI仿宋-GB2312" w:eastAsia="CESI仿宋-GB2312" w:cs="CESI仿宋-GB2312"/>
        </w:rPr>
      </w:pPr>
      <w:r>
        <w:rPr>
          <w:rFonts w:hint="eastAsia" w:ascii="CESI仿宋-GB2312" w:hAnsi="CESI仿宋-GB2312" w:eastAsia="CESI仿宋-GB2312" w:cs="CESI仿宋-GB2312"/>
        </w:rPr>
        <w:t xml:space="preserve">电      话： </w:t>
      </w:r>
    </w:p>
    <w:p w14:paraId="13A0A7A6">
      <w:pPr>
        <w:snapToGrid w:val="0"/>
        <w:spacing w:line="360" w:lineRule="auto"/>
        <w:rPr>
          <w:rFonts w:hint="eastAsia" w:ascii="CESI仿宋-GB2312" w:hAnsi="CESI仿宋-GB2312" w:eastAsia="CESI仿宋-GB2312" w:cs="CESI仿宋-GB2312"/>
          <w:u w:val="single"/>
        </w:rPr>
      </w:pPr>
      <w:r>
        <w:rPr>
          <w:rFonts w:hint="eastAsia" w:ascii="CESI仿宋-GB2312" w:hAnsi="CESI仿宋-GB2312" w:eastAsia="CESI仿宋-GB2312" w:cs="CESI仿宋-GB2312"/>
        </w:rPr>
        <w:t xml:space="preserve">电 子邮 箱： </w:t>
      </w:r>
    </w:p>
    <w:p w14:paraId="154C3B7D">
      <w:pPr>
        <w:snapToGrid w:val="0"/>
        <w:spacing w:line="360" w:lineRule="auto"/>
        <w:rPr>
          <w:rFonts w:hint="eastAsia" w:ascii="CESI仿宋-GB2312" w:hAnsi="CESI仿宋-GB2312" w:eastAsia="CESI仿宋-GB2312" w:cs="CESI仿宋-GB2312"/>
        </w:rPr>
      </w:pPr>
    </w:p>
    <w:p w14:paraId="2892D605">
      <w:pPr>
        <w:snapToGrid w:val="0"/>
        <w:spacing w:line="360" w:lineRule="auto"/>
        <w:rPr>
          <w:rFonts w:hint="eastAsia" w:ascii="CESI仿宋-GB2312" w:hAnsi="CESI仿宋-GB2312" w:eastAsia="CESI仿宋-GB2312" w:cs="CESI仿宋-GB2312"/>
        </w:rPr>
      </w:pPr>
      <w:r>
        <w:rPr>
          <w:rFonts w:hint="eastAsia" w:ascii="CESI仿宋-GB2312" w:hAnsi="CESI仿宋-GB2312" w:eastAsia="CESI仿宋-GB2312" w:cs="CESI仿宋-GB2312"/>
        </w:rPr>
        <w:t>丙      方（监管银行）：招商银行股份有限公司东莞分行</w:t>
      </w:r>
    </w:p>
    <w:p w14:paraId="24294CB8">
      <w:pPr>
        <w:snapToGrid w:val="0"/>
        <w:spacing w:line="360" w:lineRule="auto"/>
        <w:rPr>
          <w:rFonts w:hint="eastAsia" w:ascii="CESI仿宋-GB2312" w:hAnsi="CESI仿宋-GB2312" w:eastAsia="CESI仿宋-GB2312" w:cs="CESI仿宋-GB2312"/>
        </w:rPr>
      </w:pPr>
      <w:r>
        <w:rPr>
          <w:rFonts w:hint="eastAsia" w:ascii="CESI仿宋-GB2312" w:hAnsi="CESI仿宋-GB2312" w:eastAsia="CESI仿宋-GB2312" w:cs="CESI仿宋-GB2312"/>
        </w:rPr>
        <w:t>负  责  人：占京平</w:t>
      </w:r>
    </w:p>
    <w:p w14:paraId="5F70EC95">
      <w:pPr>
        <w:snapToGrid w:val="0"/>
        <w:spacing w:line="360" w:lineRule="auto"/>
        <w:rPr>
          <w:rFonts w:hint="eastAsia" w:ascii="CESI仿宋-GB2312" w:hAnsi="CESI仿宋-GB2312" w:eastAsia="CESI仿宋-GB2312" w:cs="CESI仿宋-GB2312"/>
        </w:rPr>
      </w:pPr>
      <w:r>
        <w:rPr>
          <w:rFonts w:hint="eastAsia" w:ascii="CESI仿宋-GB2312" w:hAnsi="CESI仿宋-GB2312" w:eastAsia="CESI仿宋-GB2312" w:cs="CESI仿宋-GB2312"/>
        </w:rPr>
        <w:t>授权代理人：</w:t>
      </w:r>
    </w:p>
    <w:p w14:paraId="0A3103BF">
      <w:pPr>
        <w:snapToGrid w:val="0"/>
        <w:spacing w:line="360" w:lineRule="auto"/>
        <w:rPr>
          <w:rFonts w:hint="eastAsia" w:ascii="CESI仿宋-GB2312" w:hAnsi="CESI仿宋-GB2312" w:eastAsia="CESI仿宋-GB2312" w:cs="CESI仿宋-GB2312"/>
        </w:rPr>
      </w:pPr>
      <w:r>
        <w:rPr>
          <w:rFonts w:hint="eastAsia" w:ascii="CESI仿宋-GB2312" w:hAnsi="CESI仿宋-GB2312" w:eastAsia="CESI仿宋-GB2312" w:cs="CESI仿宋-GB2312"/>
        </w:rPr>
        <w:t>地      址：东莞市南城街道鸿福路200号招商银行24楼</w:t>
      </w:r>
    </w:p>
    <w:p w14:paraId="15697448">
      <w:pPr>
        <w:snapToGrid w:val="0"/>
        <w:spacing w:line="360" w:lineRule="auto"/>
        <w:rPr>
          <w:rFonts w:hint="eastAsia" w:ascii="CESI仿宋-GB2312" w:hAnsi="CESI仿宋-GB2312" w:eastAsia="CESI仿宋-GB2312" w:cs="CESI仿宋-GB2312"/>
        </w:rPr>
      </w:pPr>
      <w:r>
        <w:rPr>
          <w:rFonts w:hint="eastAsia" w:ascii="CESI仿宋-GB2312" w:hAnsi="CESI仿宋-GB2312" w:eastAsia="CESI仿宋-GB2312" w:cs="CESI仿宋-GB2312"/>
        </w:rPr>
        <w:t>电      话：13556645060</w:t>
      </w:r>
    </w:p>
    <w:p w14:paraId="099EA2FC">
      <w:pPr>
        <w:snapToGrid w:val="0"/>
        <w:spacing w:line="360" w:lineRule="auto"/>
        <w:rPr>
          <w:rFonts w:hint="eastAsia" w:ascii="CESI仿宋-GB2312" w:hAnsi="CESI仿宋-GB2312" w:eastAsia="CESI仿宋-GB2312" w:cs="CESI仿宋-GB2312"/>
        </w:rPr>
      </w:pPr>
      <w:r>
        <w:rPr>
          <w:rFonts w:hint="eastAsia" w:ascii="CESI仿宋-GB2312" w:hAnsi="CESI仿宋-GB2312" w:eastAsia="CESI仿宋-GB2312" w:cs="CESI仿宋-GB2312"/>
        </w:rPr>
        <w:t>电 子邮 箱：</w:t>
      </w:r>
    </w:p>
    <w:p w14:paraId="25DF5333">
      <w:pPr>
        <w:jc w:val="center"/>
        <w:rPr>
          <w:rFonts w:hint="eastAsia" w:ascii="黑体" w:hAnsi="黑体" w:eastAsia="黑体" w:cs="CESI仿宋-GB2312"/>
          <w:bCs/>
        </w:rPr>
      </w:pPr>
      <w:r>
        <w:rPr>
          <w:rFonts w:hint="eastAsia" w:ascii="黑体" w:hAnsi="黑体" w:eastAsia="黑体" w:cs="CESI仿宋-GB2312"/>
          <w:bCs/>
        </w:rPr>
        <w:t>第一章  总  则</w:t>
      </w:r>
    </w:p>
    <w:p w14:paraId="0387811B">
      <w:pPr>
        <w:wordWrap w:val="0"/>
        <w:ind w:firstLine="640" w:firstLineChars="200"/>
        <w:rPr>
          <w:rFonts w:hint="eastAsia" w:hAnsi="CESI仿宋-GB2312" w:cs="CESI仿宋-GB2312"/>
        </w:rPr>
      </w:pPr>
      <w:r>
        <w:rPr>
          <w:rFonts w:hint="eastAsia" w:hAnsi="CESI仿宋-GB2312" w:cs="CESI仿宋-GB2312"/>
        </w:rPr>
        <w:t>乙方因参与甲方作为承包人的</w:t>
      </w:r>
      <w:r>
        <w:rPr>
          <w:rFonts w:hint="eastAsia" w:hAnsi="CESI仿宋-GB2312" w:cs="CESI仿宋-GB2312"/>
          <w:highlight w:val="yellow"/>
          <w:u w:val="single"/>
        </w:rPr>
        <w:t>东莞市</w:t>
      </w:r>
      <w:r>
        <w:rPr>
          <w:rFonts w:hint="eastAsia" w:hAnsi="CESI仿宋-GB2312" w:cs="CESI仿宋-GB2312"/>
          <w:highlight w:val="yellow"/>
          <w:u w:val="single"/>
          <w:lang w:val="en-US" w:eastAsia="zh-CN"/>
        </w:rPr>
        <w:t>沙田中学（暂定名）</w:t>
      </w:r>
      <w:r>
        <w:rPr>
          <w:rFonts w:hint="eastAsia" w:hAnsi="CESI仿宋-GB2312" w:cs="CESI仿宋-GB2312"/>
        </w:rPr>
        <w:t>（发包人为</w:t>
      </w:r>
      <w:r>
        <w:rPr>
          <w:rFonts w:hint="eastAsia" w:hAnsi="CESI仿宋-GB2312" w:cs="CESI仿宋-GB2312"/>
          <w:u w:val="single"/>
        </w:rPr>
        <w:t>东莞市城建工程管理局</w:t>
      </w:r>
      <w:r>
        <w:rPr>
          <w:rFonts w:hint="eastAsia" w:hAnsi="CESI仿宋-GB2312" w:cs="CESI仿宋-GB2312"/>
        </w:rPr>
        <w:t>）的项目建设，与甲方签订了</w:t>
      </w:r>
      <w:r>
        <w:rPr>
          <w:rFonts w:hint="eastAsia" w:hAnsi="CESI仿宋-GB2312" w:cs="CESI仿宋-GB2312"/>
          <w:highlight w:val="yellow"/>
          <w:u w:val="single"/>
        </w:rPr>
        <w:t>东</w:t>
      </w:r>
      <w:r>
        <w:rPr>
          <w:rFonts w:hint="eastAsia" w:hAnsi="CESI仿宋-GB2312" w:cs="CESI仿宋-GB2312"/>
          <w:highlight w:val="yellow"/>
          <w:u w:val="single"/>
          <w:lang w:val="en-US" w:eastAsia="zh-CN"/>
        </w:rPr>
        <w:t>莞市沙田中学（暂定名）***分包项目</w:t>
      </w:r>
      <w:r>
        <w:rPr>
          <w:rFonts w:hint="eastAsia" w:hAnsi="CESI仿宋-GB2312" w:cs="CESI仿宋-GB2312"/>
        </w:rPr>
        <w:t>合同（以下简称合同），并在丙方开立银行结算账户。</w:t>
      </w:r>
    </w:p>
    <w:p w14:paraId="0070976B">
      <w:pPr>
        <w:ind w:firstLine="640" w:firstLineChars="200"/>
        <w:rPr>
          <w:rFonts w:hint="eastAsia" w:hAnsi="CESI仿宋-GB2312" w:cs="CESI仿宋-GB2312"/>
        </w:rPr>
      </w:pPr>
      <w:r>
        <w:rPr>
          <w:rFonts w:hint="eastAsia" w:hAnsi="CESI仿宋-GB2312" w:cs="CESI仿宋-GB2312"/>
        </w:rPr>
        <w:t>本协议订立的宗旨为保障合同项目下工程建设资金安全、专款专用、高效使用，确保合同的顺利履行。为明确甲、乙、丙三方的权利、义务，根据中华人民共和国相关法律、法规和合同的规定，经甲、乙、丙三方在平等、自愿基础上协商一致，特订立本协议。</w:t>
      </w:r>
    </w:p>
    <w:p w14:paraId="7A6D9698">
      <w:pPr>
        <w:jc w:val="center"/>
        <w:rPr>
          <w:rFonts w:hint="eastAsia" w:ascii="黑体" w:hAnsi="黑体" w:eastAsia="黑体" w:cs="CESI仿宋-GB2312"/>
          <w:bCs/>
        </w:rPr>
      </w:pPr>
      <w:r>
        <w:rPr>
          <w:rFonts w:hint="eastAsia" w:ascii="黑体" w:hAnsi="黑体" w:eastAsia="黑体" w:cs="CESI仿宋-GB2312"/>
          <w:bCs/>
        </w:rPr>
        <w:t>第二章  权利与义务</w:t>
      </w:r>
    </w:p>
    <w:p w14:paraId="5937444C">
      <w:pPr>
        <w:numPr>
          <w:ilvl w:val="0"/>
          <w:numId w:val="1"/>
        </w:numPr>
        <w:tabs>
          <w:tab w:val="clear" w:pos="1695"/>
        </w:tabs>
        <w:rPr>
          <w:rFonts w:hint="eastAsia" w:hAnsi="仿宋_GB2312" w:cs="仿宋_GB2312"/>
        </w:rPr>
      </w:pPr>
      <w:r>
        <w:rPr>
          <w:rFonts w:hint="eastAsia" w:hAnsi="仿宋_GB2312" w:cs="仿宋_GB2312"/>
        </w:rPr>
        <w:t>甲方的权利与义务</w:t>
      </w:r>
    </w:p>
    <w:p w14:paraId="3843FF63">
      <w:pPr>
        <w:ind w:firstLine="640" w:firstLineChars="200"/>
        <w:rPr>
          <w:rFonts w:hint="eastAsia" w:hAnsi="仿宋_GB2312" w:cs="仿宋_GB2312"/>
        </w:rPr>
      </w:pPr>
      <w:r>
        <w:rPr>
          <w:rFonts w:hint="eastAsia" w:hAnsi="仿宋_GB2312" w:cs="仿宋_GB2312"/>
        </w:rPr>
        <w:t>1.甲方对于合同项目下应拨付给乙方的资金，将划拨至乙方在丙方所开立的账户内（以下简称监管账户）。监管账户信息如下：</w:t>
      </w:r>
    </w:p>
    <w:p w14:paraId="23A94266">
      <w:pPr>
        <w:numPr>
          <w:ilvl w:val="255"/>
          <w:numId w:val="0"/>
        </w:numPr>
        <w:ind w:firstLine="640" w:firstLineChars="200"/>
        <w:rPr>
          <w:rFonts w:hint="eastAsia" w:hAnsi="仿宋_GB2312" w:cs="仿宋_GB2312"/>
          <w:highlight w:val="none"/>
          <w:u w:val="single"/>
        </w:rPr>
      </w:pPr>
      <w:r>
        <w:rPr>
          <w:rFonts w:hint="eastAsia" w:hAnsi="仿宋_GB2312" w:cs="仿宋_GB2312"/>
          <w:highlight w:val="yellow"/>
        </w:rPr>
        <w:t>开户户名：</w:t>
      </w:r>
    </w:p>
    <w:p w14:paraId="2F64F6D5">
      <w:pPr>
        <w:numPr>
          <w:ilvl w:val="255"/>
          <w:numId w:val="0"/>
        </w:numPr>
        <w:ind w:firstLine="640" w:firstLineChars="200"/>
        <w:rPr>
          <w:rFonts w:hint="eastAsia" w:hAnsi="仿宋_GB2312" w:cs="仿宋_GB2312"/>
          <w:highlight w:val="yellow"/>
          <w:u w:val="single"/>
        </w:rPr>
      </w:pPr>
      <w:r>
        <w:rPr>
          <w:rFonts w:hint="eastAsia" w:hAnsi="仿宋_GB2312" w:cs="仿宋_GB2312"/>
          <w:highlight w:val="yellow"/>
        </w:rPr>
        <w:t>银行账号：</w:t>
      </w:r>
    </w:p>
    <w:p w14:paraId="4F5E108F">
      <w:pPr>
        <w:numPr>
          <w:ilvl w:val="255"/>
          <w:numId w:val="0"/>
        </w:numPr>
        <w:ind w:firstLine="640" w:firstLineChars="200"/>
        <w:rPr>
          <w:rFonts w:hint="eastAsia" w:hAnsi="仿宋_GB2312" w:cs="仿宋_GB2312"/>
          <w:u w:val="single"/>
        </w:rPr>
      </w:pPr>
      <w:r>
        <w:rPr>
          <w:rFonts w:hint="eastAsia" w:hAnsi="仿宋_GB2312" w:cs="仿宋_GB2312"/>
          <w:highlight w:val="yellow"/>
        </w:rPr>
        <w:t>开户银行：</w:t>
      </w:r>
    </w:p>
    <w:p w14:paraId="66AE2D37">
      <w:pPr>
        <w:snapToGrid w:val="0"/>
        <w:spacing w:line="360" w:lineRule="auto"/>
        <w:ind w:firstLine="640" w:firstLineChars="200"/>
        <w:rPr>
          <w:rFonts w:hint="eastAsia" w:ascii="仿宋" w:hAnsi="仿宋" w:eastAsia="仿宋" w:cs="仿宋"/>
        </w:rPr>
      </w:pPr>
      <w:r>
        <w:rPr>
          <w:rFonts w:hint="eastAsia" w:ascii="仿宋" w:hAnsi="仿宋" w:eastAsia="仿宋" w:cs="仿宋"/>
        </w:rPr>
        <w:t>2.甲方有权按本协议约定，向丙方申请打印或阅览该监管账户的账户明细,包括该监管账户的发生额、余额、资金拨付方户名、账户、用途、金额以及司法冻结情况等信息。</w:t>
      </w:r>
    </w:p>
    <w:p w14:paraId="43098D11">
      <w:pPr>
        <w:ind w:firstLine="570"/>
        <w:rPr>
          <w:rFonts w:hint="eastAsia" w:ascii="仿宋" w:hAnsi="仿宋" w:eastAsia="仿宋" w:cs="仿宋"/>
        </w:rPr>
      </w:pPr>
      <w:r>
        <w:rPr>
          <w:rFonts w:hint="eastAsia" w:ascii="仿宋" w:hAnsi="仿宋" w:eastAsia="仿宋" w:cs="仿宋"/>
        </w:rPr>
        <w:t>3.甲方有权通过“政府投资项目资金穿透式监管系统”（下称监管系统）对乙方监管账户实施以下方式的监管措施。包括且不限于对乙方监管账户各类款项进行合同备案管理、支付额度控制、合同外支出逐笔审批等。</w:t>
      </w:r>
    </w:p>
    <w:p w14:paraId="6075A934">
      <w:pPr>
        <w:ind w:firstLine="570"/>
        <w:rPr>
          <w:rFonts w:hint="eastAsia" w:hAnsi="仿宋_GB2312" w:cs="仿宋_GB2312"/>
        </w:rPr>
      </w:pPr>
      <w:r>
        <w:rPr>
          <w:rFonts w:hint="eastAsia" w:hAnsi="仿宋_GB2312" w:cs="仿宋_GB2312"/>
        </w:rPr>
        <w:t>4.甲方有义务根据项目进度，做好资金拨付规划，对于已达到付款进度的资金，需及时划拨至监管账户。</w:t>
      </w:r>
    </w:p>
    <w:p w14:paraId="1CE91C8A">
      <w:pPr>
        <w:ind w:firstLine="570"/>
        <w:rPr>
          <w:rFonts w:hint="eastAsia" w:ascii="仿宋" w:hAnsi="仿宋" w:eastAsia="仿宋" w:cs="仿宋"/>
          <w:highlight w:val="yellow"/>
        </w:rPr>
      </w:pPr>
      <w:r>
        <w:rPr>
          <w:rFonts w:hint="eastAsia" w:hAnsi="仿宋_GB2312" w:cs="仿宋_GB2312"/>
        </w:rPr>
        <w:t>5.甲方有义务对乙方监管账户信息和丙方业务操作内容保密。</w:t>
      </w:r>
    </w:p>
    <w:p w14:paraId="35F89C25">
      <w:pPr>
        <w:numPr>
          <w:ilvl w:val="0"/>
          <w:numId w:val="1"/>
        </w:numPr>
        <w:tabs>
          <w:tab w:val="clear" w:pos="1695"/>
        </w:tabs>
        <w:rPr>
          <w:rFonts w:hint="eastAsia" w:hAnsi="仿宋_GB2312" w:cs="仿宋_GB2312"/>
        </w:rPr>
      </w:pPr>
      <w:r>
        <w:rPr>
          <w:rFonts w:hint="eastAsia" w:hAnsi="仿宋_GB2312" w:cs="仿宋_GB2312"/>
        </w:rPr>
        <w:t>乙方的权利与义务</w:t>
      </w:r>
    </w:p>
    <w:p w14:paraId="1D8B1242">
      <w:pPr>
        <w:ind w:firstLine="640" w:firstLineChars="200"/>
        <w:rPr>
          <w:rFonts w:hint="eastAsia" w:hAnsi="仿宋_GB2312" w:cs="仿宋_GB2312"/>
        </w:rPr>
      </w:pPr>
      <w:r>
        <w:rPr>
          <w:rFonts w:hint="eastAsia" w:hAnsi="仿宋_GB2312" w:cs="仿宋_GB2312"/>
        </w:rPr>
        <w:t>1.乙方在丙方开立银行结算账户，享受丙方所提供的优质银行服务。</w:t>
      </w:r>
    </w:p>
    <w:p w14:paraId="7B482725">
      <w:pPr>
        <w:ind w:firstLine="640" w:firstLineChars="200"/>
        <w:rPr>
          <w:rFonts w:hint="eastAsia" w:hAnsi="仿宋_GB2312" w:cs="仿宋_GB2312"/>
        </w:rPr>
      </w:pPr>
      <w:r>
        <w:rPr>
          <w:rFonts w:hint="eastAsia" w:hAnsi="仿宋_GB2312" w:cs="仿宋_GB2312"/>
        </w:rPr>
        <w:t>2.乙方有权要求甲、丙双方对其监管账户信息对外保密,根据法律法规相关规定或按政府部门、监管机构或司法机关要求提供的除外。</w:t>
      </w:r>
    </w:p>
    <w:p w14:paraId="1A12A6FD">
      <w:pPr>
        <w:ind w:firstLine="640" w:firstLineChars="200"/>
        <w:rPr>
          <w:rFonts w:hint="eastAsia" w:hAnsi="仿宋_GB2312" w:cs="仿宋_GB2312"/>
        </w:rPr>
      </w:pPr>
      <w:r>
        <w:rPr>
          <w:rFonts w:hint="eastAsia" w:hAnsi="仿宋_GB2312" w:cs="仿宋_GB2312"/>
        </w:rPr>
        <w:t>3.乙方应依据甲方每次核批工程款项编制《工程建设资金合同备案确认表》（以下简称《合同备案确认表》，见附表1）及《工程建设资金合同外支出确认表》（以下简称《合同外支出确认表》，见附表2）报送甲方和丙方(由甲方确定报送的时间节点和频次)。</w:t>
      </w:r>
    </w:p>
    <w:p w14:paraId="589CE4CB">
      <w:pPr>
        <w:ind w:firstLine="640" w:firstLineChars="200"/>
        <w:rPr>
          <w:rFonts w:hint="eastAsia" w:hAnsi="仿宋_GB2312" w:cs="仿宋_GB2312"/>
        </w:rPr>
      </w:pPr>
      <w:r>
        <w:rPr>
          <w:rFonts w:hint="eastAsia" w:hAnsi="仿宋_GB2312" w:cs="仿宋_GB2312"/>
        </w:rPr>
        <w:t>4.乙方有义务对于甲方所划拨的合同项下资金按合同规定用途使用，并在监管账户进行支付结算，在合同结算完成前，不得用于项目外其他支出。</w:t>
      </w:r>
    </w:p>
    <w:p w14:paraId="16021205">
      <w:pPr>
        <w:ind w:firstLine="640" w:firstLineChars="200"/>
        <w:rPr>
          <w:rFonts w:hint="eastAsia" w:hAnsi="仿宋_GB2312" w:cs="仿宋_GB2312"/>
        </w:rPr>
      </w:pPr>
      <w:r>
        <w:rPr>
          <w:rFonts w:hint="eastAsia" w:hAnsi="仿宋_GB2312" w:cs="仿宋_GB2312"/>
        </w:rPr>
        <w:t>5.乙方同意授权财政管理部门、业主单位及发包人查询该监管账户的余额、流水明细以及账户冻结情况等。</w:t>
      </w:r>
    </w:p>
    <w:p w14:paraId="687A0E39">
      <w:pPr>
        <w:numPr>
          <w:ilvl w:val="0"/>
          <w:numId w:val="1"/>
        </w:numPr>
        <w:tabs>
          <w:tab w:val="clear" w:pos="1695"/>
        </w:tabs>
        <w:rPr>
          <w:rFonts w:hint="eastAsia" w:hAnsi="仿宋_GB2312" w:cs="仿宋_GB2312"/>
        </w:rPr>
      </w:pPr>
      <w:r>
        <w:rPr>
          <w:rFonts w:hint="eastAsia" w:hAnsi="仿宋_GB2312" w:cs="仿宋_GB2312"/>
        </w:rPr>
        <w:t>丙方的权利与义务</w:t>
      </w:r>
    </w:p>
    <w:p w14:paraId="2D809AB1">
      <w:pPr>
        <w:ind w:firstLine="640" w:firstLineChars="200"/>
        <w:rPr>
          <w:rFonts w:hint="eastAsia" w:hAnsi="仿宋_GB2312" w:cs="仿宋_GB2312"/>
        </w:rPr>
      </w:pPr>
      <w:r>
        <w:rPr>
          <w:rFonts w:hint="eastAsia" w:hAnsi="仿宋_GB2312" w:cs="仿宋_GB2312"/>
        </w:rPr>
        <w:t>1.丙方有权根据丙方业务规定对具体业务进行审核，并保持与甲、乙双方的密切沟通。</w:t>
      </w:r>
    </w:p>
    <w:p w14:paraId="39BB470D">
      <w:pPr>
        <w:ind w:firstLine="640" w:firstLineChars="200"/>
        <w:rPr>
          <w:rFonts w:hint="eastAsia" w:hAnsi="仿宋_GB2312" w:cs="仿宋_GB2312"/>
        </w:rPr>
      </w:pPr>
      <w:r>
        <w:rPr>
          <w:rFonts w:hint="eastAsia" w:hAnsi="仿宋_GB2312" w:cs="仿宋_GB2312"/>
        </w:rPr>
        <w:t>2.丙方有义务依据甲方要求对监管账户实施监管，采取的控制方式包括但不限于支付定向控制、支付限额控制、资金逐笔审核等。</w:t>
      </w:r>
    </w:p>
    <w:p w14:paraId="60A193E3">
      <w:pPr>
        <w:ind w:firstLine="640" w:firstLineChars="200"/>
        <w:rPr>
          <w:rFonts w:hint="eastAsia" w:hAnsi="仿宋_GB2312" w:cs="仿宋_GB2312"/>
        </w:rPr>
      </w:pPr>
      <w:r>
        <w:rPr>
          <w:rFonts w:hint="eastAsia" w:hAnsi="仿宋_GB2312" w:cs="仿宋_GB2312"/>
        </w:rPr>
        <w:t>3.丙方有义务根据甲、乙双方提出的要求提供高质量的银行服务。丙方不得无理压票压汇，造成甲方和乙方不必要的损失。若发生此类现象，乙方即可向甲方投诉。丙方应根据甲方的要求限期改进服务，逾期仍不能满足服务要求的，甲方有权将丙方从资金监管服务的商业银行名单中清除。</w:t>
      </w:r>
    </w:p>
    <w:p w14:paraId="31B36753">
      <w:pPr>
        <w:ind w:firstLine="640" w:firstLineChars="200"/>
        <w:rPr>
          <w:rFonts w:hint="eastAsia" w:hAnsi="仿宋_GB2312" w:cs="仿宋_GB2312"/>
        </w:rPr>
      </w:pPr>
      <w:r>
        <w:rPr>
          <w:rFonts w:hint="eastAsia" w:hAnsi="仿宋_GB2312" w:cs="仿宋_GB2312"/>
        </w:rPr>
        <w:t>4.丙方有义务定期或不定期在符合法律法规和监管要求的前提下，向甲方提供该监管账户的司法冻结、司法扣划信息。</w:t>
      </w:r>
    </w:p>
    <w:p w14:paraId="4A8F984B">
      <w:pPr>
        <w:ind w:firstLine="640" w:firstLineChars="200"/>
        <w:rPr>
          <w:rFonts w:hint="eastAsia" w:hAnsi="仿宋_GB2312" w:cs="仿宋_GB2312"/>
        </w:rPr>
      </w:pPr>
      <w:r>
        <w:rPr>
          <w:rFonts w:hint="eastAsia" w:hAnsi="仿宋_GB2312" w:cs="仿宋_GB2312"/>
        </w:rPr>
        <w:t>5.丙方有义务对监管账户信息对外保密,根据法律法规相关规定或按政府部门、监管机构或司法机关要求提供的除外。</w:t>
      </w:r>
    </w:p>
    <w:p w14:paraId="01D2577B">
      <w:pPr>
        <w:ind w:firstLine="640" w:firstLineChars="200"/>
        <w:rPr>
          <w:rFonts w:hint="eastAsia" w:hAnsi="仿宋_GB2312" w:cs="仿宋_GB2312"/>
        </w:rPr>
      </w:pPr>
      <w:r>
        <w:rPr>
          <w:rFonts w:hint="eastAsia" w:hAnsi="仿宋_GB2312" w:cs="仿宋_GB2312"/>
        </w:rPr>
        <w:t>6.丙方在收到《合同备案确认表》及《合同外支出确认表》后，应作为受理业务的重要凭证</w:t>
      </w:r>
      <w:r>
        <w:rPr>
          <w:rFonts w:hint="eastAsia" w:hAnsi="仿宋_GB2312" w:cs="仿宋_GB2312"/>
          <w:u w:color="FFFFFF"/>
        </w:rPr>
        <w:t>专夹</w:t>
      </w:r>
      <w:r>
        <w:rPr>
          <w:rFonts w:hint="eastAsia" w:hAnsi="仿宋_GB2312" w:cs="仿宋_GB2312"/>
        </w:rPr>
        <w:t>保管。开展监管业务过程中应将《合同备案确认表》、《合同外支出确认表》作为甲方审核意见，对相应业务材料逐笔审核。因乙方提供的《合同备案确认表》、《合同外支出确认表》不真实、不准确或不全面等，或因各方对本合同约定的判断异常情况的具体标准理解不一致等原因造成的问题，丙方不承担相应责任。</w:t>
      </w:r>
    </w:p>
    <w:p w14:paraId="7D72C22D">
      <w:pPr>
        <w:numPr>
          <w:ilvl w:val="0"/>
          <w:numId w:val="1"/>
        </w:numPr>
        <w:tabs>
          <w:tab w:val="clear" w:pos="1695"/>
        </w:tabs>
        <w:rPr>
          <w:rFonts w:hint="eastAsia" w:hAnsi="仿宋_GB2312" w:cs="仿宋_GB2312"/>
        </w:rPr>
      </w:pPr>
      <w:r>
        <w:rPr>
          <w:rFonts w:hint="eastAsia" w:hAnsi="仿宋_GB2312" w:cs="仿宋_GB2312"/>
        </w:rPr>
        <w:t>监管规则</w:t>
      </w:r>
    </w:p>
    <w:p w14:paraId="369036E8">
      <w:pPr>
        <w:ind w:firstLine="640" w:firstLineChars="200"/>
        <w:rPr>
          <w:rFonts w:hint="eastAsia" w:hAnsi="仿宋_GB2312" w:cs="仿宋_GB2312"/>
        </w:rPr>
      </w:pPr>
      <w:r>
        <w:rPr>
          <w:rFonts w:hint="eastAsia" w:hAnsi="仿宋_GB2312" w:cs="仿宋_GB2312"/>
        </w:rPr>
        <w:t>协议三方应参照《东莞市财政局 东莞市发展和改革局关于开展我市政府投资项目资金穿透式监管试点工作的通知》等有关规定，监管系统为本协议签约账户唯一支付渠道，在监管系统中按照以下流程开展资金监管业务。</w:t>
      </w:r>
    </w:p>
    <w:p w14:paraId="559724BE">
      <w:pPr>
        <w:numPr>
          <w:ilvl w:val="0"/>
          <w:numId w:val="2"/>
        </w:numPr>
        <w:ind w:firstLine="640" w:firstLineChars="200"/>
        <w:rPr>
          <w:rFonts w:hint="eastAsia" w:hAnsi="仿宋_GB2312" w:cs="仿宋_GB2312"/>
        </w:rPr>
      </w:pPr>
      <w:r>
        <w:rPr>
          <w:rFonts w:hint="eastAsia" w:hAnsi="仿宋_GB2312" w:cs="仿宋_GB2312"/>
        </w:rPr>
        <w:t>账户备案：乙方应将自身在丙方开立的监管账户备案至监管系统。</w:t>
      </w:r>
    </w:p>
    <w:p w14:paraId="22696B49">
      <w:pPr>
        <w:numPr>
          <w:ilvl w:val="0"/>
          <w:numId w:val="2"/>
        </w:numPr>
        <w:ind w:firstLine="640" w:firstLineChars="200"/>
        <w:rPr>
          <w:rFonts w:hint="eastAsia" w:hAnsi="仿宋_GB2312" w:cs="仿宋_GB2312"/>
        </w:rPr>
      </w:pPr>
      <w:r>
        <w:rPr>
          <w:rFonts w:hint="eastAsia" w:hAnsi="仿宋_GB2312" w:cs="仿宋_GB2312"/>
        </w:rPr>
        <w:t>合同备案：乙方应将自身与下游交易对手签订的合同备案至监管系统中，系统将根据合同金额与实际已支出金额确认初始额度。</w:t>
      </w:r>
    </w:p>
    <w:p w14:paraId="41459654">
      <w:pPr>
        <w:numPr>
          <w:ilvl w:val="0"/>
          <w:numId w:val="2"/>
        </w:numPr>
        <w:ind w:firstLine="640" w:firstLineChars="200"/>
        <w:rPr>
          <w:rFonts w:hint="eastAsia" w:hAnsi="仿宋_GB2312" w:cs="仿宋_GB2312"/>
        </w:rPr>
      </w:pPr>
      <w:r>
        <w:rPr>
          <w:rFonts w:hint="eastAsia" w:hAnsi="仿宋_GB2312" w:cs="仿宋_GB2312"/>
        </w:rPr>
        <w:t>合同约定的付款：对于已签订合同的交易对手，乙方应选择对应合同，在额度限制内进行资金支付。</w:t>
      </w:r>
    </w:p>
    <w:p w14:paraId="25A4E0F2">
      <w:pPr>
        <w:ind w:firstLine="640" w:firstLineChars="200"/>
        <w:rPr>
          <w:rFonts w:hint="eastAsia" w:hAnsi="仿宋_GB2312" w:cs="仿宋_GB2312"/>
        </w:rPr>
      </w:pPr>
      <w:r>
        <w:rPr>
          <w:rFonts w:hint="eastAsia" w:hAnsi="仿宋_GB2312" w:cs="仿宋_GB2312"/>
        </w:rPr>
        <w:t>4.无合同约定的付款：属于零星支出的，甲方在监管系统设置乙方年累计/月累计/单笔零星支付授信额度，若零星支付金额在额度范围内，乙方可自主对外支付；若超过额度，根据甲方在监管系统设置的方式执行，执行方式包括系统自动拒绝和提交甲方审批两种。属于一次性大额支出的，乙方根据《合同外支出确认表》中经甲方审核通过后交易对手及金额进行支付。</w:t>
      </w:r>
    </w:p>
    <w:p w14:paraId="415661E1">
      <w:pPr>
        <w:jc w:val="center"/>
        <w:rPr>
          <w:rFonts w:hint="eastAsia" w:hAnsi="仿宋_GB2312" w:cs="仿宋_GB2312"/>
        </w:rPr>
      </w:pPr>
      <w:r>
        <w:rPr>
          <w:rFonts w:hint="eastAsia" w:hAnsi="仿宋_GB2312" w:cs="仿宋_GB2312"/>
          <w:bCs/>
        </w:rPr>
        <w:t>第三章  争议的解决</w:t>
      </w:r>
    </w:p>
    <w:p w14:paraId="29F5D6E5">
      <w:pPr>
        <w:numPr>
          <w:ilvl w:val="0"/>
          <w:numId w:val="1"/>
        </w:numPr>
        <w:tabs>
          <w:tab w:val="clear" w:pos="1695"/>
        </w:tabs>
        <w:ind w:left="0" w:firstLine="570"/>
        <w:rPr>
          <w:rFonts w:hint="eastAsia" w:hAnsi="仿宋_GB2312" w:cs="仿宋_GB2312"/>
        </w:rPr>
      </w:pPr>
      <w:r>
        <w:rPr>
          <w:rFonts w:hint="eastAsia" w:hAnsi="仿宋_GB2312" w:cs="仿宋_GB2312"/>
        </w:rPr>
        <w:t xml:space="preserve"> 甲、乙、丙三方在履行本协议过程中所发生的争议，三方应友好协商解决。确因协商不成的，任何一方有权向丙方住所地人民法院提起诉讼。</w:t>
      </w:r>
    </w:p>
    <w:p w14:paraId="5741E715">
      <w:pPr>
        <w:jc w:val="center"/>
        <w:rPr>
          <w:rFonts w:hint="eastAsia" w:hAnsi="仿宋_GB2312" w:cs="仿宋_GB2312"/>
          <w:bCs/>
        </w:rPr>
      </w:pPr>
      <w:bookmarkStart w:id="0" w:name="OLE_LINK1"/>
      <w:r>
        <w:rPr>
          <w:rFonts w:hint="eastAsia" w:hAnsi="仿宋_GB2312" w:cs="仿宋_GB2312"/>
          <w:bCs/>
        </w:rPr>
        <w:t>第四章  协议的生效、变更和解除</w:t>
      </w:r>
    </w:p>
    <w:bookmarkEnd w:id="0"/>
    <w:p w14:paraId="164AECF2">
      <w:pPr>
        <w:numPr>
          <w:ilvl w:val="0"/>
          <w:numId w:val="1"/>
        </w:numPr>
        <w:tabs>
          <w:tab w:val="clear" w:pos="1695"/>
        </w:tabs>
        <w:ind w:left="0" w:firstLine="640"/>
        <w:rPr>
          <w:rFonts w:hint="eastAsia" w:hAnsi="仿宋_GB2312" w:cs="仿宋_GB2312"/>
        </w:rPr>
      </w:pPr>
      <w:r>
        <w:rPr>
          <w:rFonts w:hint="eastAsia" w:hAnsi="仿宋_GB2312" w:cs="仿宋_GB2312"/>
        </w:rPr>
        <w:t xml:space="preserve"> 本协议在有效期内的履行应以不违反中华人民共和国法律和国家有关主管部门的政策、法规为基本前提。本协议履行过程中应遵照穿透式监管相关文件要求，通过既定程序完成资金对外支付。</w:t>
      </w:r>
    </w:p>
    <w:p w14:paraId="5370AAFF">
      <w:pPr>
        <w:numPr>
          <w:ilvl w:val="0"/>
          <w:numId w:val="1"/>
        </w:numPr>
        <w:tabs>
          <w:tab w:val="clear" w:pos="1695"/>
        </w:tabs>
        <w:ind w:left="0" w:firstLine="640"/>
        <w:rPr>
          <w:rFonts w:hint="eastAsia" w:hAnsi="仿宋_GB2312" w:cs="仿宋_GB2312"/>
        </w:rPr>
      </w:pPr>
      <w:r>
        <w:rPr>
          <w:rFonts w:hint="eastAsia" w:hAnsi="仿宋_GB2312" w:cs="仿宋_GB2312"/>
        </w:rPr>
        <w:t xml:space="preserve"> 本协议在履行过程中需对协议进行修订或需解除本协议时，甲、乙、丙任何一方不得单方面执行，均须甲、乙、丙三方协商一致，并达成书面协议。书面协议达成之前，不影响本协议条款效力。</w:t>
      </w:r>
    </w:p>
    <w:p w14:paraId="245CE37D">
      <w:pPr>
        <w:numPr>
          <w:ilvl w:val="0"/>
          <w:numId w:val="1"/>
        </w:numPr>
        <w:tabs>
          <w:tab w:val="clear" w:pos="1695"/>
        </w:tabs>
        <w:ind w:left="0" w:firstLine="640"/>
        <w:rPr>
          <w:rFonts w:hint="eastAsia" w:hAnsi="仿宋_GB2312" w:cs="仿宋_GB2312"/>
        </w:rPr>
      </w:pPr>
      <w:r>
        <w:rPr>
          <w:rFonts w:hint="eastAsia" w:hAnsi="仿宋_GB2312" w:cs="仿宋_GB2312"/>
        </w:rPr>
        <w:t xml:space="preserve"> 本协议自甲、乙、丙三方法定代表人/负责人（或授权代理人）签字或盖章并加盖公章后生效，有效期至该合同结算完成，办理清算后由甲方出具书面函件通知丙方银行，本协议终止。因甲方未出具书面函件通知丙方导致协议未能终止的，各方应按本协议第四条的约定处理。本协议正本一式陆份，三方各执贰份，遵照履行。</w:t>
      </w:r>
    </w:p>
    <w:p w14:paraId="1A8FE6A3">
      <w:pPr>
        <w:numPr>
          <w:ilvl w:val="0"/>
          <w:numId w:val="1"/>
        </w:numPr>
        <w:tabs>
          <w:tab w:val="clear" w:pos="1695"/>
        </w:tabs>
        <w:ind w:left="0" w:firstLine="640"/>
        <w:rPr>
          <w:rFonts w:hint="eastAsia" w:hAnsi="仿宋_GB2312" w:cs="仿宋_GB2312"/>
        </w:rPr>
      </w:pPr>
      <w:r>
        <w:rPr>
          <w:rFonts w:hint="eastAsia" w:hAnsi="仿宋_GB2312" w:cs="仿宋_GB2312"/>
        </w:rPr>
        <w:t xml:space="preserve"> 在后续监管业务开展时，甲方与乙方在丙方预留的身份识别依据应参照《政府投资项目穿透式监管印章约定表》（附表3）执行。</w:t>
      </w:r>
    </w:p>
    <w:p w14:paraId="1D8FC5D9">
      <w:pPr>
        <w:numPr>
          <w:ilvl w:val="0"/>
          <w:numId w:val="1"/>
        </w:numPr>
        <w:tabs>
          <w:tab w:val="clear" w:pos="1695"/>
        </w:tabs>
        <w:rPr>
          <w:rFonts w:hint="eastAsia" w:hAnsi="仿宋_GB2312" w:cs="仿宋_GB2312"/>
        </w:rPr>
      </w:pPr>
      <w:r>
        <w:rPr>
          <w:rFonts w:hint="eastAsia" w:hAnsi="仿宋_GB2312" w:cs="仿宋_GB2312"/>
        </w:rPr>
        <w:t xml:space="preserve"> 各方商定的其他事项</w:t>
      </w:r>
      <w:bookmarkStart w:id="1" w:name="Text3"/>
      <w:r>
        <w:rPr>
          <w:rFonts w:hint="eastAsia" w:hAnsi="仿宋_GB2312" w:cs="仿宋_GB2312"/>
        </w:rPr>
        <w:t>：</w:t>
      </w:r>
      <w:bookmarkEnd w:id="1"/>
      <w:r>
        <w:rPr>
          <w:rFonts w:hint="eastAsia" w:hAnsi="仿宋_GB2312" w:cs="仿宋_GB2312"/>
          <w:u w:val="single"/>
        </w:rPr>
        <w:t xml:space="preserve">            </w:t>
      </w:r>
      <w:r>
        <w:rPr>
          <w:rFonts w:hint="eastAsia" w:hAnsi="仿宋_GB2312" w:cs="仿宋_GB2312"/>
        </w:rPr>
        <w:t>。</w:t>
      </w:r>
    </w:p>
    <w:p w14:paraId="2FA5C603">
      <w:pPr>
        <w:ind w:firstLine="615"/>
        <w:rPr>
          <w:rFonts w:hint="eastAsia" w:hAnsi="仿宋_GB2312" w:cs="仿宋_GB2312"/>
        </w:rPr>
      </w:pPr>
      <w:r>
        <w:rPr>
          <w:rFonts w:hint="eastAsia" w:hAnsi="仿宋_GB2312" w:cs="仿宋_GB2312"/>
        </w:rPr>
        <w:t>（以下无正文）</w:t>
      </w:r>
    </w:p>
    <w:p w14:paraId="05AA3311">
      <w:pPr>
        <w:jc w:val="left"/>
        <w:rPr>
          <w:rFonts w:hint="eastAsia" w:hAnsi="仿宋_GB2312" w:cs="仿宋_GB2312"/>
        </w:rPr>
      </w:pPr>
      <w:r>
        <w:rPr>
          <w:rFonts w:hint="eastAsia" w:hAnsi="仿宋_GB2312" w:cs="仿宋_GB2312"/>
        </w:rPr>
        <w:t>甲方：                         （公章）</w:t>
      </w:r>
    </w:p>
    <w:p w14:paraId="6D75BBB6">
      <w:pPr>
        <w:jc w:val="left"/>
        <w:rPr>
          <w:rFonts w:hint="eastAsia" w:hAnsi="仿宋_GB2312" w:cs="仿宋_GB2312"/>
        </w:rPr>
      </w:pPr>
      <w:r>
        <w:rPr>
          <w:rFonts w:hint="eastAsia" w:hAnsi="仿宋_GB2312" w:cs="仿宋_GB2312"/>
        </w:rPr>
        <w:t>法定代表人/授权代理人：        （签字或盖章）</w:t>
      </w:r>
    </w:p>
    <w:p w14:paraId="58AF1938">
      <w:pPr>
        <w:jc w:val="left"/>
        <w:rPr>
          <w:rFonts w:hint="eastAsia" w:hAnsi="仿宋_GB2312" w:cs="仿宋_GB2312"/>
        </w:rPr>
      </w:pPr>
      <w:r>
        <w:rPr>
          <w:rFonts w:hint="eastAsia" w:hAnsi="仿宋_GB2312" w:cs="仿宋_GB2312"/>
        </w:rPr>
        <w:t xml:space="preserve">                                  年   月   日</w:t>
      </w:r>
    </w:p>
    <w:p w14:paraId="50676CF5">
      <w:pPr>
        <w:rPr>
          <w:rFonts w:hint="eastAsia" w:hAnsi="仿宋_GB2312" w:cs="仿宋_GB2312"/>
        </w:rPr>
      </w:pPr>
      <w:r>
        <w:rPr>
          <w:rFonts w:hint="eastAsia" w:hAnsi="仿宋_GB2312" w:cs="仿宋_GB2312"/>
        </w:rPr>
        <w:t>乙方：                          （公章）</w:t>
      </w:r>
    </w:p>
    <w:p w14:paraId="2ACBD742">
      <w:pPr>
        <w:rPr>
          <w:rFonts w:hint="eastAsia" w:hAnsi="仿宋_GB2312" w:cs="仿宋_GB2312"/>
        </w:rPr>
      </w:pPr>
      <w:r>
        <w:rPr>
          <w:rFonts w:hint="eastAsia" w:hAnsi="仿宋_GB2312" w:cs="仿宋_GB2312"/>
        </w:rPr>
        <w:t>法定代表人/授权代理人：         （签字或盖章）</w:t>
      </w:r>
    </w:p>
    <w:p w14:paraId="690DDA2A">
      <w:pPr>
        <w:rPr>
          <w:rFonts w:hint="eastAsia" w:hAnsi="仿宋_GB2312" w:cs="仿宋_GB2312"/>
        </w:rPr>
      </w:pPr>
      <w:r>
        <w:rPr>
          <w:rFonts w:hint="eastAsia" w:hAnsi="仿宋_GB2312" w:cs="仿宋_GB2312"/>
        </w:rPr>
        <w:t xml:space="preserve">                                  年   月   日</w:t>
      </w:r>
    </w:p>
    <w:p w14:paraId="53775945">
      <w:pPr>
        <w:rPr>
          <w:rFonts w:hint="eastAsia" w:hAnsi="仿宋_GB2312" w:cs="仿宋_GB2312"/>
        </w:rPr>
      </w:pPr>
      <w:r>
        <w:rPr>
          <w:rFonts w:hint="eastAsia" w:hAnsi="仿宋_GB2312" w:cs="仿宋_GB2312"/>
        </w:rPr>
        <w:t>丙方（监管银行）：                （盖章）</w:t>
      </w:r>
    </w:p>
    <w:p w14:paraId="24A88801">
      <w:pPr>
        <w:rPr>
          <w:rFonts w:hint="eastAsia" w:hAnsi="仿宋_GB2312" w:cs="仿宋_GB2312"/>
        </w:rPr>
      </w:pPr>
      <w:r>
        <w:rPr>
          <w:rFonts w:hint="eastAsia" w:hAnsi="仿宋_GB2312" w:cs="仿宋_GB2312"/>
        </w:rPr>
        <w:t>负责人/授权代理人：              （签字或盖章）</w:t>
      </w:r>
    </w:p>
    <w:p w14:paraId="70766354">
      <w:pPr>
        <w:rPr>
          <w:rFonts w:hint="eastAsia" w:hAnsi="仿宋_GB2312" w:cs="仿宋_GB2312"/>
        </w:rPr>
      </w:pPr>
      <w:r>
        <w:rPr>
          <w:rFonts w:hint="eastAsia" w:hAnsi="仿宋_GB2312" w:cs="仿宋_GB2312"/>
        </w:rPr>
        <w:t xml:space="preserve">                                  年   月   日</w:t>
      </w:r>
    </w:p>
    <w:p w14:paraId="08CD8CF9">
      <w:pPr>
        <w:tabs>
          <w:tab w:val="left" w:pos="28"/>
          <w:tab w:val="left" w:pos="322"/>
          <w:tab w:val="left" w:pos="504"/>
          <w:tab w:val="left" w:pos="672"/>
          <w:tab w:val="left" w:pos="1442"/>
          <w:tab w:val="left" w:pos="2352"/>
        </w:tabs>
        <w:rPr>
          <w:rFonts w:hint="eastAsia" w:hAnsi="仿宋_GB2312" w:cs="仿宋_GB2312"/>
          <w:sz w:val="28"/>
          <w:szCs w:val="28"/>
        </w:rPr>
      </w:pPr>
    </w:p>
    <w:p w14:paraId="50A5DEE2">
      <w:pPr>
        <w:tabs>
          <w:tab w:val="left" w:pos="28"/>
          <w:tab w:val="left" w:pos="322"/>
          <w:tab w:val="left" w:pos="504"/>
          <w:tab w:val="left" w:pos="672"/>
          <w:tab w:val="left" w:pos="1442"/>
          <w:tab w:val="left" w:pos="2352"/>
        </w:tabs>
        <w:rPr>
          <w:rFonts w:hint="eastAsia" w:ascii="仿宋" w:hAnsi="仿宋" w:eastAsia="仿宋" w:cs="仿宋"/>
          <w:sz w:val="28"/>
          <w:szCs w:val="28"/>
        </w:rPr>
      </w:pPr>
      <w:r>
        <w:rPr>
          <w:rFonts w:hint="eastAsia" w:ascii="仿宋" w:hAnsi="仿宋" w:eastAsia="仿宋" w:cs="仿宋"/>
          <w:sz w:val="28"/>
          <w:szCs w:val="28"/>
        </w:rPr>
        <w:t>附表1：</w:t>
      </w:r>
    </w:p>
    <w:p w14:paraId="0664674F">
      <w:pPr>
        <w:tabs>
          <w:tab w:val="left" w:pos="28"/>
          <w:tab w:val="left" w:pos="322"/>
          <w:tab w:val="left" w:pos="504"/>
          <w:tab w:val="left" w:pos="672"/>
          <w:tab w:val="left" w:pos="1442"/>
          <w:tab w:val="left" w:pos="2352"/>
        </w:tabs>
        <w:rPr>
          <w:rFonts w:ascii="彩虹粗仿宋" w:eastAsia="彩虹粗仿宋"/>
        </w:rPr>
      </w:pPr>
      <w:r>
        <w:drawing>
          <wp:inline distT="0" distB="0" distL="114300" distR="114300">
            <wp:extent cx="5397500" cy="4729480"/>
            <wp:effectExtent l="0" t="0" r="12700" b="1016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5397500" cy="4729480"/>
                    </a:xfrm>
                    <a:prstGeom prst="rect">
                      <a:avLst/>
                    </a:prstGeom>
                    <a:noFill/>
                    <a:ln>
                      <a:noFill/>
                    </a:ln>
                  </pic:spPr>
                </pic:pic>
              </a:graphicData>
            </a:graphic>
          </wp:inline>
        </w:drawing>
      </w:r>
    </w:p>
    <w:p w14:paraId="54DC080E">
      <w:pPr>
        <w:tabs>
          <w:tab w:val="left" w:pos="28"/>
          <w:tab w:val="left" w:pos="322"/>
          <w:tab w:val="left" w:pos="504"/>
          <w:tab w:val="left" w:pos="672"/>
          <w:tab w:val="left" w:pos="1442"/>
          <w:tab w:val="left" w:pos="2352"/>
        </w:tabs>
        <w:rPr>
          <w:rFonts w:ascii="彩虹粗仿宋" w:eastAsia="彩虹粗仿宋"/>
        </w:rPr>
      </w:pPr>
    </w:p>
    <w:p w14:paraId="182DF06F">
      <w:pPr>
        <w:tabs>
          <w:tab w:val="left" w:pos="28"/>
          <w:tab w:val="left" w:pos="322"/>
          <w:tab w:val="left" w:pos="504"/>
          <w:tab w:val="left" w:pos="672"/>
          <w:tab w:val="left" w:pos="1442"/>
          <w:tab w:val="left" w:pos="2352"/>
        </w:tabs>
        <w:rPr>
          <w:rFonts w:ascii="彩虹粗仿宋" w:eastAsia="彩虹粗仿宋"/>
        </w:rPr>
      </w:pPr>
    </w:p>
    <w:p w14:paraId="356D82A7">
      <w:pPr>
        <w:tabs>
          <w:tab w:val="left" w:pos="28"/>
          <w:tab w:val="left" w:pos="322"/>
          <w:tab w:val="left" w:pos="504"/>
          <w:tab w:val="left" w:pos="672"/>
          <w:tab w:val="left" w:pos="1442"/>
          <w:tab w:val="left" w:pos="2352"/>
        </w:tabs>
        <w:rPr>
          <w:rFonts w:ascii="彩虹粗仿宋" w:eastAsia="彩虹粗仿宋"/>
        </w:rPr>
      </w:pPr>
    </w:p>
    <w:p w14:paraId="453A2094">
      <w:pPr>
        <w:tabs>
          <w:tab w:val="left" w:pos="28"/>
          <w:tab w:val="left" w:pos="322"/>
          <w:tab w:val="left" w:pos="504"/>
          <w:tab w:val="left" w:pos="672"/>
          <w:tab w:val="left" w:pos="1442"/>
          <w:tab w:val="left" w:pos="2352"/>
        </w:tabs>
        <w:rPr>
          <w:rFonts w:ascii="彩虹粗仿宋" w:eastAsia="彩虹粗仿宋"/>
        </w:rPr>
      </w:pPr>
    </w:p>
    <w:p w14:paraId="6200946C">
      <w:pPr>
        <w:tabs>
          <w:tab w:val="left" w:pos="28"/>
          <w:tab w:val="left" w:pos="322"/>
          <w:tab w:val="left" w:pos="504"/>
          <w:tab w:val="left" w:pos="672"/>
          <w:tab w:val="left" w:pos="1442"/>
          <w:tab w:val="left" w:pos="2352"/>
        </w:tabs>
        <w:rPr>
          <w:rFonts w:ascii="彩虹粗仿宋" w:eastAsia="彩虹粗仿宋"/>
        </w:rPr>
      </w:pPr>
    </w:p>
    <w:p w14:paraId="4B4AD816">
      <w:pPr>
        <w:tabs>
          <w:tab w:val="left" w:pos="28"/>
          <w:tab w:val="left" w:pos="322"/>
          <w:tab w:val="left" w:pos="504"/>
          <w:tab w:val="left" w:pos="672"/>
          <w:tab w:val="left" w:pos="1442"/>
          <w:tab w:val="left" w:pos="2352"/>
        </w:tabs>
        <w:rPr>
          <w:rFonts w:ascii="彩虹粗仿宋" w:eastAsia="彩虹粗仿宋"/>
        </w:rPr>
      </w:pPr>
    </w:p>
    <w:p w14:paraId="1150B091">
      <w:pPr>
        <w:tabs>
          <w:tab w:val="left" w:pos="28"/>
          <w:tab w:val="left" w:pos="322"/>
          <w:tab w:val="left" w:pos="504"/>
          <w:tab w:val="left" w:pos="672"/>
          <w:tab w:val="left" w:pos="1442"/>
          <w:tab w:val="left" w:pos="2352"/>
        </w:tabs>
        <w:jc w:val="left"/>
        <w:rPr>
          <w:rFonts w:ascii="彩虹粗仿宋" w:eastAsia="彩虹粗仿宋"/>
        </w:rPr>
      </w:pPr>
    </w:p>
    <w:p w14:paraId="5F9265B8">
      <w:pPr>
        <w:tabs>
          <w:tab w:val="left" w:pos="28"/>
          <w:tab w:val="left" w:pos="322"/>
          <w:tab w:val="left" w:pos="504"/>
          <w:tab w:val="left" w:pos="672"/>
          <w:tab w:val="left" w:pos="1442"/>
          <w:tab w:val="left" w:pos="2352"/>
        </w:tabs>
        <w:jc w:val="left"/>
        <w:rPr>
          <w:rFonts w:hint="eastAsia" w:ascii="仿宋" w:hAnsi="仿宋" w:eastAsia="仿宋" w:cs="仿宋"/>
          <w:sz w:val="28"/>
          <w:szCs w:val="28"/>
        </w:rPr>
      </w:pPr>
      <w:r>
        <w:rPr>
          <w:rFonts w:hint="eastAsia" w:ascii="仿宋" w:hAnsi="仿宋" w:eastAsia="仿宋" w:cs="仿宋"/>
          <w:sz w:val="28"/>
          <w:szCs w:val="28"/>
        </w:rPr>
        <w:t>附表2：</w:t>
      </w:r>
    </w:p>
    <w:p w14:paraId="0E5522C8">
      <w:pPr>
        <w:tabs>
          <w:tab w:val="left" w:pos="28"/>
          <w:tab w:val="left" w:pos="322"/>
          <w:tab w:val="left" w:pos="504"/>
          <w:tab w:val="left" w:pos="672"/>
          <w:tab w:val="left" w:pos="1442"/>
          <w:tab w:val="left" w:pos="2352"/>
        </w:tabs>
        <w:jc w:val="left"/>
        <w:rPr>
          <w:rFonts w:ascii="彩虹粗仿宋" w:eastAsia="彩虹粗仿宋"/>
        </w:rPr>
      </w:pPr>
      <w:r>
        <w:drawing>
          <wp:inline distT="0" distB="0" distL="114300" distR="114300">
            <wp:extent cx="5393055" cy="5083810"/>
            <wp:effectExtent l="0" t="0" r="1905" b="635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7"/>
                    <a:stretch>
                      <a:fillRect/>
                    </a:stretch>
                  </pic:blipFill>
                  <pic:spPr>
                    <a:xfrm>
                      <a:off x="0" y="0"/>
                      <a:ext cx="5393055" cy="5083810"/>
                    </a:xfrm>
                    <a:prstGeom prst="rect">
                      <a:avLst/>
                    </a:prstGeom>
                    <a:noFill/>
                    <a:ln>
                      <a:noFill/>
                    </a:ln>
                  </pic:spPr>
                </pic:pic>
              </a:graphicData>
            </a:graphic>
          </wp:inline>
        </w:drawing>
      </w:r>
    </w:p>
    <w:p w14:paraId="73240B73">
      <w:pPr>
        <w:tabs>
          <w:tab w:val="left" w:pos="28"/>
          <w:tab w:val="left" w:pos="322"/>
          <w:tab w:val="left" w:pos="504"/>
          <w:tab w:val="left" w:pos="672"/>
          <w:tab w:val="left" w:pos="1442"/>
          <w:tab w:val="left" w:pos="2352"/>
        </w:tabs>
        <w:jc w:val="left"/>
        <w:rPr>
          <w:rFonts w:ascii="彩虹粗仿宋" w:eastAsia="彩虹粗仿宋"/>
        </w:rPr>
      </w:pPr>
    </w:p>
    <w:p w14:paraId="48D82ED7">
      <w:pPr>
        <w:tabs>
          <w:tab w:val="left" w:pos="28"/>
          <w:tab w:val="left" w:pos="322"/>
          <w:tab w:val="left" w:pos="504"/>
          <w:tab w:val="left" w:pos="672"/>
          <w:tab w:val="left" w:pos="1442"/>
          <w:tab w:val="left" w:pos="2352"/>
        </w:tabs>
        <w:jc w:val="left"/>
        <w:rPr>
          <w:rFonts w:ascii="彩虹粗仿宋" w:eastAsia="彩虹粗仿宋"/>
        </w:rPr>
      </w:pPr>
    </w:p>
    <w:p w14:paraId="2889D5E2">
      <w:pPr>
        <w:tabs>
          <w:tab w:val="left" w:pos="28"/>
          <w:tab w:val="left" w:pos="322"/>
          <w:tab w:val="left" w:pos="504"/>
          <w:tab w:val="left" w:pos="672"/>
          <w:tab w:val="left" w:pos="1442"/>
          <w:tab w:val="left" w:pos="2352"/>
        </w:tabs>
        <w:jc w:val="left"/>
        <w:rPr>
          <w:rFonts w:ascii="彩虹粗仿宋" w:eastAsia="彩虹粗仿宋"/>
        </w:rPr>
      </w:pPr>
    </w:p>
    <w:p w14:paraId="4ADF0888">
      <w:pPr>
        <w:tabs>
          <w:tab w:val="left" w:pos="28"/>
          <w:tab w:val="left" w:pos="322"/>
          <w:tab w:val="left" w:pos="504"/>
          <w:tab w:val="left" w:pos="672"/>
          <w:tab w:val="left" w:pos="1442"/>
          <w:tab w:val="left" w:pos="2352"/>
        </w:tabs>
        <w:jc w:val="left"/>
        <w:rPr>
          <w:rFonts w:ascii="彩虹粗仿宋" w:eastAsia="彩虹粗仿宋"/>
        </w:rPr>
      </w:pPr>
    </w:p>
    <w:p w14:paraId="6957238B">
      <w:pPr>
        <w:tabs>
          <w:tab w:val="left" w:pos="28"/>
          <w:tab w:val="left" w:pos="322"/>
          <w:tab w:val="left" w:pos="504"/>
          <w:tab w:val="left" w:pos="672"/>
          <w:tab w:val="left" w:pos="1442"/>
          <w:tab w:val="left" w:pos="2352"/>
        </w:tabs>
        <w:jc w:val="left"/>
        <w:rPr>
          <w:rFonts w:ascii="彩虹粗仿宋" w:eastAsia="彩虹粗仿宋"/>
        </w:rPr>
      </w:pPr>
    </w:p>
    <w:p w14:paraId="4EFB790A">
      <w:pPr>
        <w:tabs>
          <w:tab w:val="left" w:pos="28"/>
          <w:tab w:val="left" w:pos="322"/>
          <w:tab w:val="left" w:pos="504"/>
          <w:tab w:val="left" w:pos="672"/>
          <w:tab w:val="left" w:pos="1442"/>
          <w:tab w:val="left" w:pos="2352"/>
        </w:tabs>
        <w:jc w:val="left"/>
        <w:rPr>
          <w:rFonts w:ascii="彩虹粗仿宋" w:eastAsia="彩虹粗仿宋"/>
        </w:rPr>
      </w:pPr>
    </w:p>
    <w:p w14:paraId="068864A5">
      <w:pPr>
        <w:tabs>
          <w:tab w:val="left" w:pos="28"/>
          <w:tab w:val="left" w:pos="322"/>
          <w:tab w:val="left" w:pos="504"/>
          <w:tab w:val="left" w:pos="672"/>
          <w:tab w:val="left" w:pos="1442"/>
          <w:tab w:val="left" w:pos="2352"/>
        </w:tabs>
        <w:jc w:val="left"/>
        <w:rPr>
          <w:rFonts w:hint="eastAsia" w:ascii="仿宋" w:hAnsi="仿宋" w:eastAsia="仿宋" w:cs="仿宋"/>
          <w:sz w:val="28"/>
          <w:szCs w:val="28"/>
        </w:rPr>
      </w:pPr>
      <w:r>
        <w:rPr>
          <w:rFonts w:hint="eastAsia" w:ascii="仿宋" w:hAnsi="仿宋" w:eastAsia="仿宋" w:cs="仿宋"/>
          <w:sz w:val="28"/>
          <w:szCs w:val="28"/>
        </w:rPr>
        <w:t>附表3</w:t>
      </w:r>
    </w:p>
    <w:tbl>
      <w:tblPr>
        <w:tblStyle w:val="8"/>
        <w:tblpPr w:leftFromText="180" w:rightFromText="180" w:vertAnchor="text" w:horzAnchor="page" w:tblpX="1693" w:tblpY="600"/>
        <w:tblOverlap w:val="never"/>
        <w:tblW w:w="8613"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96"/>
        <w:gridCol w:w="6917"/>
      </w:tblGrid>
      <w:tr w14:paraId="7654E5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exact"/>
        </w:trPr>
        <w:tc>
          <w:tcPr>
            <w:tcW w:w="8613" w:type="dxa"/>
            <w:gridSpan w:val="2"/>
            <w:tcBorders>
              <w:top w:val="single" w:color="auto" w:sz="4" w:space="0"/>
              <w:left w:val="single" w:color="auto" w:sz="4" w:space="0"/>
              <w:bottom w:val="single" w:color="auto" w:sz="4" w:space="0"/>
              <w:right w:val="single" w:color="auto" w:sz="4" w:space="0"/>
            </w:tcBorders>
            <w:shd w:val="clear" w:color="auto" w:fill="CCCCCC"/>
            <w:vAlign w:val="center"/>
          </w:tcPr>
          <w:p w14:paraId="3989CB9C">
            <w:pPr>
              <w:spacing w:line="360" w:lineRule="auto"/>
              <w:jc w:val="center"/>
              <w:rPr>
                <w:rFonts w:hint="eastAsia" w:ascii="仿宋" w:hAnsi="仿宋" w:eastAsia="仿宋" w:cs="仿宋"/>
                <w:sz w:val="28"/>
                <w:szCs w:val="28"/>
              </w:rPr>
            </w:pPr>
            <w:r>
              <w:rPr>
                <w:rFonts w:hint="eastAsia" w:ascii="仿宋" w:hAnsi="仿宋" w:eastAsia="仿宋" w:cs="仿宋"/>
                <w:sz w:val="28"/>
                <w:szCs w:val="28"/>
              </w:rPr>
              <w:t>政府投资项目穿透式监管印章约定表</w:t>
            </w:r>
          </w:p>
        </w:tc>
      </w:tr>
      <w:tr w14:paraId="44B536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8613" w:type="dxa"/>
            <w:gridSpan w:val="2"/>
            <w:tcBorders>
              <w:top w:val="single" w:color="auto" w:sz="4" w:space="0"/>
              <w:left w:val="single" w:color="auto" w:sz="4" w:space="0"/>
              <w:bottom w:val="single" w:color="auto" w:sz="4" w:space="0"/>
              <w:right w:val="single" w:color="auto" w:sz="4" w:space="0"/>
            </w:tcBorders>
            <w:vAlign w:val="center"/>
          </w:tcPr>
          <w:p w14:paraId="3206AA04">
            <w:pPr>
              <w:rPr>
                <w:rFonts w:hint="default" w:ascii="仿宋" w:hAnsi="仿宋" w:eastAsia="仿宋" w:cs="仿宋"/>
                <w:sz w:val="28"/>
                <w:szCs w:val="28"/>
                <w:lang w:val="en-US" w:eastAsia="zh-CN"/>
              </w:rPr>
            </w:pPr>
            <w:r>
              <w:rPr>
                <w:rFonts w:hint="eastAsia" w:ascii="仿宋" w:hAnsi="仿宋" w:eastAsia="仿宋" w:cs="仿宋"/>
                <w:sz w:val="28"/>
                <w:szCs w:val="28"/>
                <w:highlight w:val="none"/>
              </w:rPr>
              <w:t>项目名称：</w:t>
            </w:r>
            <w:r>
              <w:rPr>
                <w:rFonts w:hint="eastAsia" w:ascii="仿宋" w:hAnsi="仿宋" w:eastAsia="仿宋" w:cs="仿宋"/>
                <w:sz w:val="28"/>
                <w:szCs w:val="28"/>
                <w:highlight w:val="none"/>
              </w:rPr>
              <w:t>东莞市</w:t>
            </w:r>
            <w:r>
              <w:rPr>
                <w:rFonts w:hint="eastAsia" w:ascii="仿宋" w:hAnsi="仿宋" w:eastAsia="仿宋" w:cs="仿宋"/>
                <w:sz w:val="28"/>
                <w:szCs w:val="28"/>
                <w:highlight w:val="none"/>
                <w:lang w:val="en-US" w:eastAsia="zh-CN"/>
              </w:rPr>
              <w:t>沙田中学（暂定名）项目****分包</w:t>
            </w:r>
          </w:p>
        </w:tc>
      </w:tr>
      <w:tr w14:paraId="5E5740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96" w:hRule="exact"/>
        </w:trPr>
        <w:tc>
          <w:tcPr>
            <w:tcW w:w="1696" w:type="dxa"/>
            <w:tcBorders>
              <w:left w:val="single" w:color="auto" w:sz="4" w:space="0"/>
              <w:right w:val="single" w:color="auto" w:sz="4" w:space="0"/>
            </w:tcBorders>
            <w:vAlign w:val="center"/>
          </w:tcPr>
          <w:p w14:paraId="76F28E1B">
            <w:pPr>
              <w:spacing w:line="360" w:lineRule="auto"/>
              <w:rPr>
                <w:rFonts w:hint="eastAsia" w:ascii="仿宋" w:hAnsi="仿宋" w:eastAsia="仿宋" w:cs="仿宋"/>
                <w:sz w:val="28"/>
                <w:szCs w:val="28"/>
              </w:rPr>
            </w:pPr>
            <w:r>
              <w:rPr>
                <w:rFonts w:hint="eastAsia" w:ascii="仿宋" w:hAnsi="仿宋" w:eastAsia="仿宋" w:cs="仿宋"/>
                <w:sz w:val="28"/>
                <w:szCs w:val="28"/>
              </w:rPr>
              <w:t>甲方的身份识别印章样式（盖章）：</w:t>
            </w:r>
          </w:p>
        </w:tc>
        <w:tc>
          <w:tcPr>
            <w:tcW w:w="6917" w:type="dxa"/>
            <w:tcBorders>
              <w:top w:val="single" w:color="auto" w:sz="4" w:space="0"/>
              <w:left w:val="single" w:color="auto" w:sz="4" w:space="0"/>
              <w:bottom w:val="single" w:color="auto" w:sz="4" w:space="0"/>
              <w:right w:val="single" w:color="auto" w:sz="4" w:space="0"/>
            </w:tcBorders>
            <w:vAlign w:val="bottom"/>
          </w:tcPr>
          <w:p w14:paraId="52428E3B">
            <w:pPr>
              <w:spacing w:line="360" w:lineRule="auto"/>
              <w:rPr>
                <w:rFonts w:hint="eastAsia" w:ascii="仿宋" w:hAnsi="仿宋" w:eastAsia="仿宋" w:cs="仿宋"/>
                <w:sz w:val="28"/>
                <w:szCs w:val="28"/>
              </w:rPr>
            </w:pPr>
            <w:bookmarkStart w:id="2" w:name="_GoBack"/>
            <w:bookmarkEnd w:id="2"/>
          </w:p>
        </w:tc>
      </w:tr>
      <w:tr w14:paraId="677099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49" w:hRule="exact"/>
        </w:trPr>
        <w:tc>
          <w:tcPr>
            <w:tcW w:w="1696" w:type="dxa"/>
            <w:tcBorders>
              <w:top w:val="single" w:color="auto" w:sz="4" w:space="0"/>
              <w:left w:val="single" w:color="auto" w:sz="4" w:space="0"/>
              <w:bottom w:val="single" w:color="auto" w:sz="4" w:space="0"/>
              <w:right w:val="single" w:color="auto" w:sz="4" w:space="0"/>
            </w:tcBorders>
            <w:vAlign w:val="center"/>
          </w:tcPr>
          <w:p w14:paraId="5464A4F7">
            <w:pPr>
              <w:spacing w:line="360" w:lineRule="auto"/>
              <w:rPr>
                <w:rFonts w:hint="eastAsia" w:ascii="仿宋" w:hAnsi="仿宋" w:eastAsia="仿宋" w:cs="仿宋"/>
                <w:sz w:val="28"/>
                <w:szCs w:val="28"/>
              </w:rPr>
            </w:pPr>
            <w:r>
              <w:rPr>
                <w:rFonts w:hint="eastAsia" w:ascii="仿宋" w:hAnsi="仿宋" w:eastAsia="仿宋" w:cs="仿宋"/>
                <w:sz w:val="28"/>
                <w:szCs w:val="28"/>
              </w:rPr>
              <w:t>乙方的身份识别印章样式（盖章）：</w:t>
            </w:r>
          </w:p>
        </w:tc>
        <w:tc>
          <w:tcPr>
            <w:tcW w:w="6917" w:type="dxa"/>
            <w:tcBorders>
              <w:top w:val="single" w:color="auto" w:sz="4" w:space="0"/>
              <w:left w:val="single" w:color="auto" w:sz="4" w:space="0"/>
              <w:bottom w:val="single" w:color="auto" w:sz="4" w:space="0"/>
              <w:right w:val="single" w:color="auto" w:sz="4" w:space="0"/>
            </w:tcBorders>
            <w:vAlign w:val="center"/>
          </w:tcPr>
          <w:p w14:paraId="34197205">
            <w:pPr>
              <w:spacing w:line="360" w:lineRule="auto"/>
              <w:rPr>
                <w:rFonts w:hint="eastAsia" w:ascii="仿宋" w:hAnsi="仿宋" w:eastAsia="仿宋" w:cs="仿宋"/>
                <w:sz w:val="28"/>
                <w:szCs w:val="28"/>
              </w:rPr>
            </w:pPr>
          </w:p>
          <w:p w14:paraId="4F37FEEF">
            <w:pPr>
              <w:spacing w:line="360" w:lineRule="auto"/>
              <w:rPr>
                <w:rFonts w:hint="eastAsia" w:ascii="仿宋" w:hAnsi="仿宋" w:eastAsia="仿宋" w:cs="仿宋"/>
                <w:sz w:val="28"/>
                <w:szCs w:val="28"/>
              </w:rPr>
            </w:pPr>
          </w:p>
          <w:p w14:paraId="323BFDDA">
            <w:pPr>
              <w:spacing w:line="360" w:lineRule="auto"/>
              <w:rPr>
                <w:rFonts w:hint="eastAsia" w:ascii="仿宋" w:hAnsi="仿宋" w:eastAsia="仿宋" w:cs="仿宋"/>
                <w:sz w:val="28"/>
                <w:szCs w:val="28"/>
              </w:rPr>
            </w:pPr>
          </w:p>
          <w:p w14:paraId="428664AB">
            <w:pPr>
              <w:spacing w:line="360" w:lineRule="auto"/>
              <w:rPr>
                <w:rFonts w:hint="eastAsia" w:ascii="仿宋" w:hAnsi="仿宋" w:eastAsia="仿宋" w:cs="仿宋"/>
                <w:sz w:val="28"/>
                <w:szCs w:val="28"/>
              </w:rPr>
            </w:pPr>
          </w:p>
          <w:p w14:paraId="38D0D11C">
            <w:pPr>
              <w:spacing w:line="360" w:lineRule="auto"/>
              <w:rPr>
                <w:rFonts w:hint="eastAsia" w:ascii="仿宋" w:hAnsi="仿宋" w:eastAsia="仿宋" w:cs="仿宋"/>
                <w:sz w:val="28"/>
                <w:szCs w:val="28"/>
              </w:rPr>
            </w:pPr>
          </w:p>
          <w:p w14:paraId="3DF2E29C">
            <w:pPr>
              <w:spacing w:line="360" w:lineRule="auto"/>
              <w:rPr>
                <w:rFonts w:hint="eastAsia" w:ascii="仿宋" w:hAnsi="仿宋" w:eastAsia="仿宋" w:cs="仿宋"/>
                <w:sz w:val="28"/>
                <w:szCs w:val="28"/>
              </w:rPr>
            </w:pPr>
          </w:p>
          <w:p w14:paraId="29EC406F">
            <w:pPr>
              <w:spacing w:line="360" w:lineRule="auto"/>
              <w:rPr>
                <w:rFonts w:hint="eastAsia" w:ascii="仿宋" w:hAnsi="仿宋" w:eastAsia="仿宋" w:cs="仿宋"/>
                <w:sz w:val="28"/>
                <w:szCs w:val="28"/>
              </w:rPr>
            </w:pPr>
          </w:p>
        </w:tc>
      </w:tr>
    </w:tbl>
    <w:p w14:paraId="65CDC408">
      <w:pPr>
        <w:tabs>
          <w:tab w:val="left" w:pos="28"/>
          <w:tab w:val="left" w:pos="322"/>
          <w:tab w:val="left" w:pos="504"/>
          <w:tab w:val="left" w:pos="672"/>
          <w:tab w:val="left" w:pos="1442"/>
          <w:tab w:val="left" w:pos="2352"/>
        </w:tabs>
        <w:jc w:val="left"/>
        <w:rPr>
          <w:rFonts w:ascii="彩虹粗仿宋" w:eastAsia="彩虹粗仿宋"/>
        </w:rPr>
      </w:pPr>
    </w:p>
    <w:sectPr>
      <w:footerReference r:id="rId3" w:type="default"/>
      <w:footerReference r:id="rId4" w:type="even"/>
      <w:pgSz w:w="11906" w:h="16838"/>
      <w:pgMar w:top="2552" w:right="1701" w:bottom="1701"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彩虹粗仿宋">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CESI仿宋-GB2312">
    <w:altName w:val="仿宋"/>
    <w:panose1 w:val="00000000000000000000"/>
    <w:charset w:val="86"/>
    <w:family w:val="auto"/>
    <w:pitch w:val="default"/>
    <w:sig w:usb0="00000000" w:usb1="00000000" w:usb2="00000010" w:usb3="00000000" w:csb0="0004000F" w:csb1="00000000"/>
  </w:font>
  <w:font w:name="KSOF557087D0">
    <w:panose1 w:val="02000500000000000000"/>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0D844">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7E0C9">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14:paraId="5CE7794D">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845844"/>
    <w:multiLevelType w:val="singleLevel"/>
    <w:tmpl w:val="CB845844"/>
    <w:lvl w:ilvl="0" w:tentative="0">
      <w:start w:val="1"/>
      <w:numFmt w:val="decimal"/>
      <w:lvlText w:val="%1."/>
      <w:lvlJc w:val="left"/>
      <w:pPr>
        <w:tabs>
          <w:tab w:val="left" w:pos="312"/>
        </w:tabs>
      </w:pPr>
    </w:lvl>
  </w:abstractNum>
  <w:abstractNum w:abstractNumId="1">
    <w:nsid w:val="1B097054"/>
    <w:multiLevelType w:val="multilevel"/>
    <w:tmpl w:val="1B097054"/>
    <w:lvl w:ilvl="0" w:tentative="0">
      <w:start w:val="1"/>
      <w:numFmt w:val="japaneseCounting"/>
      <w:lvlText w:val="第%1条"/>
      <w:lvlJc w:val="left"/>
      <w:pPr>
        <w:tabs>
          <w:tab w:val="left" w:pos="1695"/>
        </w:tabs>
        <w:ind w:left="1695" w:hanging="1125"/>
      </w:pPr>
      <w:rPr>
        <w:rFonts w:hint="eastAsia" w:ascii="仿宋_GB2312" w:eastAsia="仿宋_GB2312"/>
        <w:b w:val="0"/>
      </w:rPr>
    </w:lvl>
    <w:lvl w:ilvl="1" w:tentative="0">
      <w:start w:val="1"/>
      <w:numFmt w:val="decimal"/>
      <w:lvlText w:val="%2、"/>
      <w:lvlJc w:val="left"/>
      <w:pPr>
        <w:tabs>
          <w:tab w:val="left" w:pos="1710"/>
        </w:tabs>
        <w:ind w:left="1710" w:hanging="720"/>
      </w:pPr>
      <w:rPr>
        <w:rFonts w:hint="eastAsia"/>
      </w:rPr>
    </w:lvl>
    <w:lvl w:ilvl="2" w:tentative="0">
      <w:start w:val="4"/>
      <w:numFmt w:val="japaneseCounting"/>
      <w:lvlText w:val="第%3章"/>
      <w:lvlJc w:val="left"/>
      <w:pPr>
        <w:tabs>
          <w:tab w:val="left" w:pos="2535"/>
        </w:tabs>
        <w:ind w:left="2535" w:hanging="1125"/>
      </w:pPr>
      <w:rPr>
        <w:rFonts w:hint="eastAsia"/>
      </w:rPr>
    </w:lvl>
    <w:lvl w:ilvl="3" w:tentative="0">
      <w:start w:val="1"/>
      <w:numFmt w:val="decimal"/>
      <w:lvlText w:val="%4."/>
      <w:lvlJc w:val="left"/>
      <w:pPr>
        <w:tabs>
          <w:tab w:val="left" w:pos="2250"/>
        </w:tabs>
        <w:ind w:left="2250" w:hanging="420"/>
      </w:pPr>
    </w:lvl>
    <w:lvl w:ilvl="4" w:tentative="0">
      <w:start w:val="1"/>
      <w:numFmt w:val="lowerLetter"/>
      <w:lvlText w:val="%5)"/>
      <w:lvlJc w:val="left"/>
      <w:pPr>
        <w:tabs>
          <w:tab w:val="left" w:pos="2670"/>
        </w:tabs>
        <w:ind w:left="2670" w:hanging="420"/>
      </w:pPr>
    </w:lvl>
    <w:lvl w:ilvl="5" w:tentative="0">
      <w:start w:val="1"/>
      <w:numFmt w:val="lowerRoman"/>
      <w:lvlText w:val="%6."/>
      <w:lvlJc w:val="right"/>
      <w:pPr>
        <w:tabs>
          <w:tab w:val="left" w:pos="3090"/>
        </w:tabs>
        <w:ind w:left="3090" w:hanging="420"/>
      </w:pPr>
    </w:lvl>
    <w:lvl w:ilvl="6" w:tentative="0">
      <w:start w:val="1"/>
      <w:numFmt w:val="decimal"/>
      <w:lvlText w:val="%7."/>
      <w:lvlJc w:val="left"/>
      <w:pPr>
        <w:tabs>
          <w:tab w:val="left" w:pos="3510"/>
        </w:tabs>
        <w:ind w:left="3510" w:hanging="420"/>
      </w:pPr>
    </w:lvl>
    <w:lvl w:ilvl="7" w:tentative="0">
      <w:start w:val="1"/>
      <w:numFmt w:val="lowerLetter"/>
      <w:lvlText w:val="%8)"/>
      <w:lvlJc w:val="left"/>
      <w:pPr>
        <w:tabs>
          <w:tab w:val="left" w:pos="3930"/>
        </w:tabs>
        <w:ind w:left="3930" w:hanging="420"/>
      </w:pPr>
    </w:lvl>
    <w:lvl w:ilvl="8" w:tentative="0">
      <w:start w:val="1"/>
      <w:numFmt w:val="lowerRoman"/>
      <w:lvlText w:val="%9."/>
      <w:lvlJc w:val="right"/>
      <w:pPr>
        <w:tabs>
          <w:tab w:val="left" w:pos="4350"/>
        </w:tabs>
        <w:ind w:left="435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dit="readOnly"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E3NzM1MjkxOTg2ZjNlMThiNGIzMjNiZDEwOGUxMDQifQ=="/>
    <w:docVar w:name="KGWebUrl" w:val="http://gcoa.gdczt.gov.cn:8080/bgzdhxt/weaver/weaver.file.FileDownloadForNews?uuid=b452adcd-5545-4a2f-95cd-afa98ed88a5d&amp;fileid=5509968&amp;type=document&amp;isofficeview=0"/>
  </w:docVars>
  <w:rsids>
    <w:rsidRoot w:val="00532A98"/>
    <w:rsid w:val="00003220"/>
    <w:rsid w:val="00027B7F"/>
    <w:rsid w:val="00094B4A"/>
    <w:rsid w:val="00100B9D"/>
    <w:rsid w:val="00126EFF"/>
    <w:rsid w:val="0012710C"/>
    <w:rsid w:val="00144EA5"/>
    <w:rsid w:val="001A1AAA"/>
    <w:rsid w:val="001E3F65"/>
    <w:rsid w:val="001F4062"/>
    <w:rsid w:val="00272D1D"/>
    <w:rsid w:val="002D5EC9"/>
    <w:rsid w:val="002D636E"/>
    <w:rsid w:val="002D7F5F"/>
    <w:rsid w:val="002E70EE"/>
    <w:rsid w:val="002F06BB"/>
    <w:rsid w:val="00301AF9"/>
    <w:rsid w:val="00362EE2"/>
    <w:rsid w:val="003B49E0"/>
    <w:rsid w:val="003C1388"/>
    <w:rsid w:val="003D5BAC"/>
    <w:rsid w:val="00405A85"/>
    <w:rsid w:val="00413496"/>
    <w:rsid w:val="00477F63"/>
    <w:rsid w:val="004B79AE"/>
    <w:rsid w:val="00532A98"/>
    <w:rsid w:val="00576B83"/>
    <w:rsid w:val="005F3742"/>
    <w:rsid w:val="005F4211"/>
    <w:rsid w:val="0060343B"/>
    <w:rsid w:val="0060756A"/>
    <w:rsid w:val="0069676E"/>
    <w:rsid w:val="00734425"/>
    <w:rsid w:val="00771382"/>
    <w:rsid w:val="00772CBB"/>
    <w:rsid w:val="007A7631"/>
    <w:rsid w:val="007E6715"/>
    <w:rsid w:val="008B0773"/>
    <w:rsid w:val="009B5E77"/>
    <w:rsid w:val="009E2C7B"/>
    <w:rsid w:val="00A35C2C"/>
    <w:rsid w:val="00A57E7C"/>
    <w:rsid w:val="00A751DE"/>
    <w:rsid w:val="00B30B3C"/>
    <w:rsid w:val="00B8670A"/>
    <w:rsid w:val="00B87D53"/>
    <w:rsid w:val="00B87EF2"/>
    <w:rsid w:val="00BA6C17"/>
    <w:rsid w:val="00BE41CD"/>
    <w:rsid w:val="00C23319"/>
    <w:rsid w:val="00C7521B"/>
    <w:rsid w:val="00C913BE"/>
    <w:rsid w:val="00CB0B66"/>
    <w:rsid w:val="00CD5D1E"/>
    <w:rsid w:val="00CF4DB4"/>
    <w:rsid w:val="00D56F4F"/>
    <w:rsid w:val="00DE52E3"/>
    <w:rsid w:val="00E4150F"/>
    <w:rsid w:val="00E46FA7"/>
    <w:rsid w:val="00E535B6"/>
    <w:rsid w:val="00E627AF"/>
    <w:rsid w:val="00F66D83"/>
    <w:rsid w:val="00FA269E"/>
    <w:rsid w:val="00FF1FE9"/>
    <w:rsid w:val="0A657638"/>
    <w:rsid w:val="0E524AF3"/>
    <w:rsid w:val="14271C46"/>
    <w:rsid w:val="1A9B36B4"/>
    <w:rsid w:val="1C7803D3"/>
    <w:rsid w:val="233911DB"/>
    <w:rsid w:val="26BF2E06"/>
    <w:rsid w:val="2AB05160"/>
    <w:rsid w:val="2DC120DB"/>
    <w:rsid w:val="35453BAD"/>
    <w:rsid w:val="3F916157"/>
    <w:rsid w:val="4215500A"/>
    <w:rsid w:val="541614DC"/>
    <w:rsid w:val="57DA26B9"/>
    <w:rsid w:val="57F99B23"/>
    <w:rsid w:val="5B95200E"/>
    <w:rsid w:val="5F200A6F"/>
    <w:rsid w:val="64B428A0"/>
    <w:rsid w:val="671E1380"/>
    <w:rsid w:val="6CFF7F9C"/>
    <w:rsid w:val="6DBE6761"/>
    <w:rsid w:val="6FDF336E"/>
    <w:rsid w:val="710D08EC"/>
    <w:rsid w:val="72FFE6F2"/>
    <w:rsid w:val="75CE3B07"/>
    <w:rsid w:val="77B7A978"/>
    <w:rsid w:val="7DE7F743"/>
    <w:rsid w:val="BFFD763B"/>
    <w:rsid w:val="F7AFB833"/>
    <w:rsid w:val="FAF3541B"/>
    <w:rsid w:val="FC7F17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2"/>
      <w:sz w:val="32"/>
      <w:szCs w:val="32"/>
      <w:lang w:val="en-US" w:eastAsia="zh-CN" w:bidi="ar-SA"/>
    </w:rPr>
  </w:style>
  <w:style w:type="paragraph" w:styleId="2">
    <w:name w:val="heading 1"/>
    <w:basedOn w:val="1"/>
    <w:next w:val="1"/>
    <w:qFormat/>
    <w:uiPriority w:val="9"/>
    <w:pPr>
      <w:keepNext/>
      <w:keepLines/>
      <w:spacing w:before="340" w:after="330" w:line="576" w:lineRule="auto"/>
      <w:outlineLvl w:val="0"/>
    </w:pPr>
    <w:rPr>
      <w:b/>
      <w:kern w:val="44"/>
      <w:sz w:val="44"/>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6"/>
    <w:unhideWhenUsed/>
    <w:qFormat/>
    <w:uiPriority w:val="99"/>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7"/>
    <w:unhideWhenUsed/>
    <w:qFormat/>
    <w:uiPriority w:val="99"/>
    <w:rPr>
      <w:b/>
      <w:bCs/>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styleId="12">
    <w:name w:val="Hyperlink"/>
    <w:basedOn w:val="10"/>
    <w:qFormat/>
    <w:uiPriority w:val="99"/>
    <w:rPr>
      <w:color w:val="0000FF"/>
      <w:u w:val="single"/>
    </w:rPr>
  </w:style>
  <w:style w:type="character" w:styleId="13">
    <w:name w:val="annotation reference"/>
    <w:basedOn w:val="10"/>
    <w:unhideWhenUsed/>
    <w:qFormat/>
    <w:uiPriority w:val="99"/>
    <w:rPr>
      <w:sz w:val="21"/>
      <w:szCs w:val="21"/>
    </w:rPr>
  </w:style>
  <w:style w:type="character" w:customStyle="1" w:styleId="14">
    <w:name w:val="页眉 字符"/>
    <w:basedOn w:val="10"/>
    <w:link w:val="6"/>
    <w:qFormat/>
    <w:uiPriority w:val="99"/>
    <w:rPr>
      <w:kern w:val="2"/>
      <w:sz w:val="18"/>
      <w:szCs w:val="18"/>
    </w:rPr>
  </w:style>
  <w:style w:type="paragraph" w:customStyle="1" w:styleId="15">
    <w:name w:val="默认段落字体 Para Char"/>
    <w:basedOn w:val="1"/>
    <w:qFormat/>
    <w:uiPriority w:val="0"/>
    <w:rPr>
      <w:sz w:val="30"/>
    </w:rPr>
  </w:style>
  <w:style w:type="character" w:customStyle="1" w:styleId="16">
    <w:name w:val="批注文字 字符"/>
    <w:basedOn w:val="10"/>
    <w:link w:val="3"/>
    <w:semiHidden/>
    <w:qFormat/>
    <w:uiPriority w:val="99"/>
    <w:rPr>
      <w:kern w:val="2"/>
      <w:sz w:val="21"/>
      <w:szCs w:val="24"/>
    </w:rPr>
  </w:style>
  <w:style w:type="character" w:customStyle="1" w:styleId="17">
    <w:name w:val="批注主题 字符"/>
    <w:basedOn w:val="16"/>
    <w:link w:val="7"/>
    <w:semiHidden/>
    <w:qFormat/>
    <w:uiPriority w:val="99"/>
    <w:rPr>
      <w:b/>
      <w:bCs/>
      <w:kern w:val="2"/>
      <w:sz w:val="21"/>
      <w:szCs w:val="24"/>
    </w:rPr>
  </w:style>
  <w:style w:type="paragraph" w:customStyle="1" w:styleId="18">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19">
    <w:name w:val="xl41"/>
    <w:basedOn w:val="1"/>
    <w:qFormat/>
    <w:uiPriority w:val="0"/>
    <w:pPr>
      <w:widowControl/>
      <w:pBdr>
        <w:bottom w:val="single" w:color="auto" w:sz="4" w:space="0"/>
        <w:right w:val="single" w:color="auto" w:sz="4" w:space="0"/>
      </w:pBdr>
      <w:spacing w:before="100" w:beforeAutospacing="1" w:after="100" w:afterAutospacing="1"/>
      <w:textAlignment w:val="center"/>
    </w:pPr>
    <w:rPr>
      <w:rFonts w:ascii="宋体" w:hAnsi="宋体"/>
    </w:rPr>
  </w:style>
  <w:style w:type="paragraph" w:styleId="2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2651</Words>
  <Characters>2694</Characters>
  <Lines>23</Lines>
  <Paragraphs>6</Paragraphs>
  <TotalTime>8</TotalTime>
  <ScaleCrop>false</ScaleCrop>
  <LinksUpToDate>false</LinksUpToDate>
  <CharactersWithSpaces>3009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2025-06-03T08:31:00Z</dcterms:created>
  <dc:creator>legend</dc:creator>
  <cp:lastModifiedBy>黄惠东</cp:lastModifiedBy>
  <cp:lastPrinted>2025-06-03T08:31:00Z</cp:lastPrinted>
  <dcterms:modified xsi:type="dcterms:W3CDTF">2025-12-03T03:11:38Z</dcterms:modified>
  <dc:title>附件6：</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9CBA31EB6E25498399ED021A07882434_13</vt:lpwstr>
  </property>
  <property fmtid="{D5CDD505-2E9C-101B-9397-08002B2CF9AE}" pid="4" name="KSOTemplateDocerSaveRecord">
    <vt:lpwstr>eyJoZGlkIjoiYmQzMzg1YmEyMWYyOTA4NTIxNTE5ZGY3ZmQ0NjU2ZmMiLCJ1c2VySWQiOiIxNTgyODExNDczIn0=</vt:lpwstr>
  </property>
</Properties>
</file>